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раво заключения договора аренды земельного участка с кадастровым номером </w:t>
      </w:r>
      <w:r w:rsidR="00205105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01:08:0510134:139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197450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proofErr w:type="spellStart"/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город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Майкоп</w:t>
      </w:r>
      <w:proofErr w:type="spellEnd"/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</w:t>
      </w:r>
      <w:r w:rsidR="00DF4AA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улица Российская</w:t>
      </w:r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43055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103</w:t>
      </w:r>
      <w:r w:rsidR="00C02442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2E3CD6" w:rsidRPr="00EE5BDA" w:rsidRDefault="002C1E20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Заместителю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 w:rsidR="002C1E2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И.Г. Рыбалко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C45FE8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FB210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550B0C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.07.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2024 г.</w:t>
      </w:r>
      <w:r w:rsidR="00550B0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№1624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1706C0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205105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01:08:0510134:139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город Майкоп, </w:t>
      </w:r>
      <w:r w:rsidR="00392FE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ул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.</w:t>
      </w:r>
      <w:r w:rsidR="00BC209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Российская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4305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103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45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45FE8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распоряжением Администрации муниципального образования «Город Майкоп» </w:t>
      </w:r>
      <w:r w:rsidR="00C45FE8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537A03">
        <w:rPr>
          <w:rFonts w:ascii="Times New Roman" w:hAnsi="Times New Roman" w:cs="Times New Roman"/>
          <w:color w:val="000000" w:themeColor="text1"/>
          <w:sz w:val="24"/>
          <w:szCs w:val="24"/>
        </w:rPr>
        <w:t>09.08</w:t>
      </w:r>
      <w:r w:rsidR="00C45FE8">
        <w:rPr>
          <w:rFonts w:ascii="Times New Roman" w:hAnsi="Times New Roman" w:cs="Times New Roman"/>
          <w:color w:val="000000" w:themeColor="text1"/>
          <w:sz w:val="24"/>
          <w:szCs w:val="24"/>
        </w:rPr>
        <w:t>.2024 г.</w:t>
      </w:r>
      <w:r w:rsidR="009C41B1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</w:t>
      </w:r>
      <w:r w:rsidR="00C45FE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537A0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1949</w:t>
      </w:r>
      <w:r w:rsidR="00C45FE8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-р</w:t>
      </w:r>
      <w:r w:rsidR="00537A0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«О внесении изменения в распоряжение Администрации </w:t>
      </w:r>
      <w:r w:rsidR="00537A03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муниципального образования «Город Майкоп»</w:t>
      </w:r>
      <w:r w:rsidR="001706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1706C0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1706C0">
        <w:rPr>
          <w:rFonts w:ascii="Times New Roman" w:hAnsi="Times New Roman" w:cs="Times New Roman"/>
          <w:color w:val="000000" w:themeColor="text1"/>
          <w:sz w:val="24"/>
          <w:szCs w:val="24"/>
        </w:rPr>
        <w:t>17.07.2024 г.</w:t>
      </w:r>
      <w:r w:rsidR="001706C0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 1624</w:t>
      </w:r>
      <w:r w:rsidR="001706C0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-р</w:t>
      </w:r>
      <w:r w:rsidR="00537A0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C45FE8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45FE8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C45FE8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01:08:0510134:139</w:t>
      </w:r>
      <w:r w:rsidR="00C45FE8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C45FE8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C45FE8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C45FE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», город Майкоп, ул. Российская, з/у 103</w:t>
      </w:r>
      <w:r w:rsidR="00C45FE8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Наименование, место нахождения, почтовый адрес, адрес электронной почты 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6A3D77" w:rsidRPr="006A3D77" w:rsidRDefault="006A3D77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A3D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распоряжением Администрации муниципального образования «Город Майкоп» </w:t>
            </w: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 17.07.2024 г.</w:t>
            </w: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№1624-р </w:t>
            </w: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Pr="006A3D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Pr="006A3D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01:08:0510134:139</w:t>
            </w:r>
            <w:r w:rsidRPr="006A3D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Pr="006A3D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6A3D7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ул. Российская, з/у 103</w:t>
            </w: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»,  </w:t>
            </w:r>
          </w:p>
          <w:p w:rsidR="00DB2074" w:rsidRPr="006A3D77" w:rsidRDefault="006A3D77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6A3D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распоряжением Администрации муниципального образования «Город Майкоп» </w:t>
            </w: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 09.08.2024 г.</w:t>
            </w: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 1949-р «О внесении изменения в распоряжение </w:t>
            </w: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Администрации </w:t>
            </w:r>
            <w:r w:rsidRPr="006A3D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муниципального образования «Город Майкоп» </w:t>
            </w: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 17.07.2024 г.</w:t>
            </w: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 1624-р </w:t>
            </w: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Pr="006A3D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Pr="006A3D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01:08:0510134:139</w:t>
            </w:r>
            <w:r w:rsidRPr="006A3D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Pr="006A3D7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6A3D7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ул. Российская, з/у 103</w:t>
            </w:r>
            <w:r w:rsidRPr="006A3D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79202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43055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665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2051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01:08:0510134:139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 Адыгея, г. Майкоп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Российская</w:t>
            </w:r>
            <w:r w:rsidR="0043055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з/у 103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392FE4" w:rsidRPr="00392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6A3D7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FB72B7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земельного участка с кадастровым номером </w:t>
            </w:r>
            <w:proofErr w:type="gramStart"/>
            <w:r w:rsidR="002051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01:08:0510134:139</w:t>
            </w:r>
            <w:r w:rsidR="00255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имеется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55BD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Технические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условия</w:t>
            </w:r>
            <w:proofErr w:type="gramEnd"/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выданы после предоставления полного пакета документов. </w:t>
            </w:r>
          </w:p>
          <w:p w:rsidR="00325687" w:rsidRDefault="0032568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</w:p>
          <w:p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г. Майкоп, ул. 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Российская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43055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103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присоединения энергопринимающих устройств потребителей электрической энергии, объектов по производству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2051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01:08:0510134:139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по адресу: 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 Майкоп, ул. Российская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="00325687"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43055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103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г.Майкопе АО «Газпром 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C02442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C0244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 w:rsidRPr="00C0244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C0244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430557" w:rsidRPr="00C024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332</w:t>
            </w:r>
            <w:r w:rsidR="007928DB" w:rsidRPr="00C024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="00C02442" w:rsidRPr="00C024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,00 </w:t>
            </w:r>
            <w:r w:rsidR="00C02442" w:rsidRPr="00C02442">
              <w:rPr>
                <w:rFonts w:ascii="Times New Roman" w:hAnsi="Times New Roman"/>
                <w:sz w:val="20"/>
                <w:szCs w:val="20"/>
              </w:rPr>
              <w:t>(триста тридцать две тысячи</w:t>
            </w:r>
            <w:r w:rsidRPr="00C024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43055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7A738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264</w:t>
            </w:r>
            <w:r w:rsidR="0043055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02.07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43055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665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г. Майкоп, </w:t>
            </w:r>
            <w:r w:rsidR="002A711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904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Российская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43055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103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430557" w:rsidP="0056611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9960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дев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ять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девятьсот шестьдесят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Заявка направляется Заявителем Оператору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и иные представленные одновременно с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1C14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06.12.2024 с 00 час. 00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1C14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17.01.2025 до 07 час. 00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аукционе с </w:t>
            </w:r>
            <w:r w:rsidR="008A5E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06.12.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</w:t>
            </w:r>
            <w:r w:rsidR="008A5E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ений документации об аукционе до 10.01.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</w:t>
            </w:r>
            <w:r w:rsidR="008A5E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430557" w:rsidRPr="00197450" w:rsidRDefault="00430557" w:rsidP="0043055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974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- 332000</w:t>
            </w:r>
            <w:r w:rsidR="00197450" w:rsidRPr="001974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,00 </w:t>
            </w:r>
            <w:r w:rsidR="00C02442" w:rsidRPr="00197450">
              <w:rPr>
                <w:rFonts w:ascii="Times New Roman" w:hAnsi="Times New Roman"/>
                <w:sz w:val="20"/>
                <w:szCs w:val="20"/>
              </w:rPr>
              <w:t>(триста тридцать две тысячи)</w:t>
            </w:r>
            <w:r w:rsidRPr="001974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9B732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40/24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9B732D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06.12.2024 до 17.01.2025 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lastRenderedPageBreak/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19745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proofErr w:type="gramStart"/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,</w:t>
            </w:r>
            <w:proofErr w:type="gramEnd"/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0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1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792026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:rsidR="00792026" w:rsidRPr="00EE5BDA" w:rsidRDefault="00792026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20.01.2025 в 11 час. 00 мин.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2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7920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22.01.2025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Время: </w:t>
            </w:r>
            <w:r w:rsidR="007920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3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4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5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6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8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29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Порядок ознакомления покупателей с иной информацией, условиями аренды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Информация о порядке ознакомления с объектами продажи права аренды и условиями договора аренды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0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1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3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4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5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6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7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8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0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1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2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3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4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5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6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7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8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49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2. Проведение осмотра осуществляется каждую пятницу (с 9-00 до 10-00, с 14-00 до 15-00) с даты размещения извещения опроведении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6C0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97450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14DA"/>
    <w:rsid w:val="001C28EF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105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5C6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1E2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35AC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0557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37A03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0B0C"/>
    <w:rsid w:val="0055295D"/>
    <w:rsid w:val="00553E2F"/>
    <w:rsid w:val="005565FD"/>
    <w:rsid w:val="00557893"/>
    <w:rsid w:val="005606BE"/>
    <w:rsid w:val="00560E2B"/>
    <w:rsid w:val="00565AC5"/>
    <w:rsid w:val="00566113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1EDF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3D77"/>
    <w:rsid w:val="006A6189"/>
    <w:rsid w:val="006A62BC"/>
    <w:rsid w:val="006A6EA3"/>
    <w:rsid w:val="006A72BA"/>
    <w:rsid w:val="006A746D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026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A7380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E91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32D"/>
    <w:rsid w:val="009B742D"/>
    <w:rsid w:val="009C0266"/>
    <w:rsid w:val="009C06FD"/>
    <w:rsid w:val="009C0E80"/>
    <w:rsid w:val="009C27B8"/>
    <w:rsid w:val="009C2E58"/>
    <w:rsid w:val="009C3A91"/>
    <w:rsid w:val="009C41B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9AE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2442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5FE8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10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6E15E-00E8-4555-AAE4-AC6F329A5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utp.sberbank-ast.ru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://torgi.gov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1F345-84A8-405F-824B-2BE732C38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5529</Words>
  <Characters>31518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7</cp:revision>
  <cp:lastPrinted>2024-11-26T07:36:00Z</cp:lastPrinted>
  <dcterms:created xsi:type="dcterms:W3CDTF">2024-08-14T13:31:00Z</dcterms:created>
  <dcterms:modified xsi:type="dcterms:W3CDTF">2024-12-05T06:55:00Z</dcterms:modified>
</cp:coreProperties>
</file>