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1F2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C8206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0510109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C8206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127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муниципальное образование городской округ «Город </w:t>
      </w:r>
      <w:proofErr w:type="spellStart"/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город</w:t>
      </w:r>
      <w:proofErr w:type="spellEnd"/>
      <w:r w:rsidR="00030C5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Майкоп, </w:t>
      </w:r>
      <w:r w:rsidR="00030C5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переулок </w:t>
      </w:r>
      <w:proofErr w:type="spellStart"/>
      <w:r w:rsidR="00C8206D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Оштенский</w:t>
      </w:r>
      <w:proofErr w:type="spellEnd"/>
      <w:r w:rsidR="00B5259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з/у </w:t>
      </w:r>
      <w:r w:rsidR="00C8206D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16</w:t>
      </w:r>
      <w:r w:rsidR="001F2632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2E3CD6" w:rsidRPr="00EE5BDA" w:rsidRDefault="00B25ABD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________________ </w:t>
      </w:r>
      <w:r w:rsidR="00DB2074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Ю.В. Мироненко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1F2632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1F2632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</w:t>
      </w:r>
      <w:r w:rsidR="001F26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75520E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.07.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2024 г.</w:t>
      </w:r>
      <w:r w:rsidR="0075520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№1623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C8206D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C8206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0510109</w:t>
      </w:r>
      <w:r w:rsidR="00C8206D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C8206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127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», город Майкоп, </w:t>
      </w:r>
      <w:r w:rsidR="00030C5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пер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.</w:t>
      </w:r>
      <w:r w:rsidR="00C8206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 </w:t>
      </w:r>
      <w:proofErr w:type="spellStart"/>
      <w:r w:rsidR="00C8206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Оштенский</w:t>
      </w:r>
      <w:proofErr w:type="spellEnd"/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, з/у </w:t>
      </w:r>
      <w:r w:rsidR="00C8206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16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B370E5" w:rsidRPr="00EE5BDA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7552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17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.0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.2024 г.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75520E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1623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proofErr w:type="gramEnd"/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C8206D" w:rsidRPr="00C820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01:08:0510109:127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876899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город Майкоп, </w:t>
            </w:r>
            <w:r w:rsidR="00030C5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пер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C8206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C8206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Оштенский</w:t>
            </w:r>
            <w:proofErr w:type="spellEnd"/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C8206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</w:t>
            </w:r>
            <w:r w:rsidR="004401C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AE46A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gram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  <w:proofErr w:type="gramEnd"/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  <w:r w:rsidR="00C820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31</w:t>
            </w:r>
            <w:r w:rsidR="003530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C8206D" w:rsidRPr="00C820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01:08:0510109:127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</w:t>
            </w:r>
            <w:r w:rsidR="007C314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 Адыгея, г. Майкоп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C8206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пер. </w:t>
            </w:r>
            <w:proofErr w:type="spellStart"/>
            <w:r w:rsidR="00C8206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Оштенский</w:t>
            </w:r>
            <w:proofErr w:type="spellEnd"/>
            <w:r w:rsidR="00C8206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з/у 16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1F263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Ж-М3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1D55F2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малоэтажными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392FE4" w:rsidRPr="00392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C820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lastRenderedPageBreak/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0C5E" w:rsidRPr="00EE5BDA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030C5E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земельного участка с кадастровым номером </w:t>
            </w:r>
            <w:r w:rsidR="00C8206D" w:rsidRPr="00C820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01:08:0510109:127</w:t>
            </w:r>
            <w:r w:rsidR="00C8206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отсутствует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0C5E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C8206D" w:rsidRPr="00FB72B7" w:rsidRDefault="00C8206D" w:rsidP="00C8206D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Технологическое присоединение к электрическим сетям ООО «Майкопская ТЭЦ» 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устройств, расположенных по адресу: г. Майкоп, пер. 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Оштенский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у 16, возможно.</w:t>
            </w:r>
          </w:p>
          <w:p w:rsidR="00C8206D" w:rsidRPr="00EE5BDA" w:rsidRDefault="00C8206D" w:rsidP="00C8206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Подробные технические условия на технологическое присоединение в целях осуществления электроснабжения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энергопринимающего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устройства будут подготовлены после получения заявки установленной формы владельца (заявителя)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энергопринимающего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присоединения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энергопринимающих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:rsidR="00C8206D" w:rsidRDefault="00C8206D" w:rsidP="00C8206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:rsidR="00030C5E" w:rsidRPr="00EE5BDA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для индивидуального жилищного строительства с кадастровым номером </w:t>
            </w:r>
            <w:r w:rsidR="00C820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01:08:0510109:127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по адресу: г.</w:t>
            </w:r>
            <w:r w:rsidR="005E2A4D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Майкоп, пер. </w:t>
            </w:r>
            <w:proofErr w:type="spellStart"/>
            <w:r w:rsidR="005E2A4D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Оштенский</w:t>
            </w:r>
            <w:proofErr w:type="spellEnd"/>
            <w:r w:rsidR="005E2A4D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з/у 16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0C5E" w:rsidRPr="00D57805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Мероприятия по подключению объекта, будут определены после подачи заявки к представителю Единого оператора газификации ООО «Газпром газификация» в г.Майкопе АО «Газпром газораспределение  Майкоп» и пакетов документов согласно п.16 и п.17 Постановления Правительства </w:t>
            </w:r>
            <w:r w:rsidRPr="00D5780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>РФ от 13.09.2021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D5780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утратившими силу некоторых актов Правительства Российской Федерации».</w:t>
            </w:r>
          </w:p>
          <w:p w:rsidR="00030C5E" w:rsidRPr="00D57805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D5780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D5780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0C5E" w:rsidRPr="00D57805" w:rsidRDefault="00030C5E" w:rsidP="00030C5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D578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030C5E" w:rsidRPr="00D57805" w:rsidRDefault="00030C5E" w:rsidP="00030C5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7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030C5E" w:rsidP="00030C5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7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9612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5E2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2390</w:t>
            </w:r>
            <w:r w:rsid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двести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E2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тридцать девять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EE5BDA" w:rsidRDefault="005A584E" w:rsidP="005E2A4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5E2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2649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5E2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02.07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5E2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731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расположенный по адресу: </w:t>
            </w: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г. Майкоп</w:t>
            </w:r>
            <w:r w:rsidR="006B405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пер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1904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5E2A4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Оштенский</w:t>
            </w:r>
            <w:proofErr w:type="spellEnd"/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5E2A4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5E2A4D" w:rsidP="006B405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7170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 w:rsidR="006B40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семь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сто семьдесят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Заявка на участие в электронном аукционе, а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электроннойплощадке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FE669E" w:rsidRP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06.08.2024 </w:t>
            </w:r>
            <w:r w:rsid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с </w:t>
            </w:r>
            <w:r w:rsidR="00FE669E" w:rsidRP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FE669E" w:rsidRP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FE669E">
              <w:t xml:space="preserve"> </w:t>
            </w:r>
            <w:r w:rsidR="00FE669E" w:rsidRP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09.09.2024</w:t>
            </w:r>
            <w:r w:rsid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до</w:t>
            </w:r>
            <w:r w:rsidR="00FE669E" w:rsidRP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07</w:t>
            </w:r>
            <w:r w:rsid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FE669E" w:rsidRP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начала предоставления участникам аукциона </w:t>
            </w:r>
            <w:r w:rsidRPr="00206B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разъяснений положений документации об аукционе с</w:t>
            </w:r>
            <w:r w:rsidR="00206B96" w:rsidRPr="00206B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06B96" w:rsidRPr="00206B96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06.08</w:t>
            </w:r>
            <w:r w:rsidR="00206B96" w:rsidRPr="00FE66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положен</w:t>
            </w:r>
            <w:r w:rsidR="00206B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ий документации об аукционе по</w:t>
            </w:r>
            <w:r w:rsidR="00E24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02.08.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разъяснении размещенной информации. Такой 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6B405D" w:rsidRPr="00EE5BDA" w:rsidRDefault="006B405D" w:rsidP="006B405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5E2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239000</w:t>
            </w:r>
            <w:r w:rsidR="005E2A4D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5E2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двести тридцать девять тысяч</w:t>
            </w:r>
            <w:r w:rsidR="005E2A4D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D256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№ 25/24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D25691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</w:t>
            </w:r>
            <w:r w:rsidR="00D25691" w:rsidRPr="00D25691">
              <w:rPr>
                <w:rFonts w:eastAsiaTheme="majorEastAsia"/>
                <w:b/>
                <w:bCs/>
                <w:color w:val="000000" w:themeColor="text1"/>
                <w:lang w:bidi="ru-RU"/>
              </w:rPr>
              <w:t>06.08.2024</w:t>
            </w:r>
            <w:r w:rsidR="00D25691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по </w:t>
            </w:r>
            <w:r w:rsidR="00D25691" w:rsidRPr="00D25691">
              <w:rPr>
                <w:rFonts w:eastAsiaTheme="majorEastAsia"/>
                <w:b/>
                <w:bCs/>
                <w:color w:val="000000" w:themeColor="text1"/>
                <w:lang w:bidi="ru-RU"/>
              </w:rPr>
              <w:t>09.09.2024</w:t>
            </w:r>
            <w:r w:rsidR="00D25691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</w:t>
            </w:r>
            <w:proofErr w:type="spellStart"/>
            <w:r w:rsidR="00D25691">
              <w:rPr>
                <w:rFonts w:eastAsiaTheme="majorEastAsia"/>
                <w:b/>
                <w:bCs/>
                <w:color w:val="000000" w:themeColor="text1"/>
                <w:lang w:bidi="ru-RU"/>
              </w:rPr>
              <w:t>г.г</w:t>
            </w:r>
            <w:proofErr w:type="spellEnd"/>
            <w:r w:rsidR="00D25691">
              <w:rPr>
                <w:rFonts w:eastAsiaTheme="majorEastAsia"/>
                <w:b/>
                <w:bCs/>
                <w:color w:val="000000" w:themeColor="text1"/>
                <w:lang w:bidi="ru-RU"/>
              </w:rPr>
              <w:t>.</w:t>
            </w:r>
          </w:p>
          <w:p w:rsidR="003E1930" w:rsidRPr="00D25691" w:rsidRDefault="003E1930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0" w:anchor="/document/12124624/entry/391213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2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засчитываются в оплату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61" w:rsidRDefault="00A84761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21.</w:t>
            </w:r>
          </w:p>
          <w:p w:rsidR="00D63FA2" w:rsidRPr="00EE5BDA" w:rsidRDefault="00A84761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847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10.09.2024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 11 час. 00 мин.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AE46A8" w:rsidRPr="00AE46A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12.09.2024</w:t>
            </w:r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AE46A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  <w:bookmarkStart w:id="7" w:name="_GoBack"/>
            <w:bookmarkEnd w:id="7"/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 xml:space="preserve">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6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9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0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1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4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5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EE5BDA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hyperlink r:id="rId36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7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8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1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2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остановление 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Правительства РФ от10.05.2018 № 564).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3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4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5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6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7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8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0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2. Проведение осмотра осуществляется каждую пятницу (с 9-00 до 10-00, с 14-00 до 15-00) с даты размещения извещения опроведении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1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муниципальными правовыми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5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06B96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534F"/>
    <w:rsid w:val="00405E8D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4D"/>
    <w:rsid w:val="005E2A63"/>
    <w:rsid w:val="005E308C"/>
    <w:rsid w:val="005E31B9"/>
    <w:rsid w:val="005E3D5A"/>
    <w:rsid w:val="005E4AB1"/>
    <w:rsid w:val="005E4D66"/>
    <w:rsid w:val="005E7A1B"/>
    <w:rsid w:val="005F11CF"/>
    <w:rsid w:val="005F168D"/>
    <w:rsid w:val="005F443B"/>
    <w:rsid w:val="005F79C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3C0F"/>
    <w:rsid w:val="006B405D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520E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107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761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46A8"/>
    <w:rsid w:val="00AE63F0"/>
    <w:rsid w:val="00AE6562"/>
    <w:rsid w:val="00AE6611"/>
    <w:rsid w:val="00AE79D3"/>
    <w:rsid w:val="00AF0353"/>
    <w:rsid w:val="00AF0EEF"/>
    <w:rsid w:val="00AF3D36"/>
    <w:rsid w:val="00AF46D5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5F4E"/>
    <w:rsid w:val="00C47E2C"/>
    <w:rsid w:val="00C52CF6"/>
    <w:rsid w:val="00C53AD5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06D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5691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4287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502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669E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A44BB-45E5-4E57-AB84-F2122196F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880D9-3A98-4A87-A392-A753F890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5375</Words>
  <Characters>30639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8</cp:revision>
  <cp:lastPrinted>2024-07-17T14:30:00Z</cp:lastPrinted>
  <dcterms:created xsi:type="dcterms:W3CDTF">2024-07-14T18:51:00Z</dcterms:created>
  <dcterms:modified xsi:type="dcterms:W3CDTF">2024-08-05T13:55:00Z</dcterms:modified>
</cp:coreProperties>
</file>