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A" w:rsidRPr="00586777" w:rsidRDefault="005C7FE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sub_1000"/>
      <w:proofErr w:type="gramStart"/>
      <w:r w:rsidRPr="00586777">
        <w:rPr>
          <w:rStyle w:val="a3"/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86777">
        <w:rPr>
          <w:rStyle w:val="a3"/>
          <w:rFonts w:ascii="Times New Roman" w:hAnsi="Times New Roman" w:cs="Times New Roman"/>
          <w:sz w:val="28"/>
          <w:szCs w:val="28"/>
        </w:rPr>
        <w:br/>
      </w:r>
      <w:hyperlink w:anchor="sub_0" w:history="1">
        <w:r w:rsidRPr="0008668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6777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br/>
        <w:t>"Город Майкоп"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br/>
        <w:t xml:space="preserve">от </w:t>
      </w:r>
      <w:r w:rsidR="00586777" w:rsidRPr="00586777">
        <w:rPr>
          <w:rStyle w:val="a3"/>
          <w:rFonts w:ascii="Times New Roman" w:hAnsi="Times New Roman" w:cs="Times New Roman"/>
          <w:sz w:val="28"/>
          <w:szCs w:val="28"/>
        </w:rPr>
        <w:t>_____________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t xml:space="preserve"> N </w:t>
      </w:r>
      <w:r w:rsidR="00586777" w:rsidRPr="00586777">
        <w:rPr>
          <w:rStyle w:val="a3"/>
          <w:rFonts w:ascii="Times New Roman" w:hAnsi="Times New Roman" w:cs="Times New Roman"/>
          <w:sz w:val="28"/>
          <w:szCs w:val="28"/>
        </w:rPr>
        <w:t>_______</w:t>
      </w:r>
    </w:p>
    <w:bookmarkEnd w:id="0"/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86777">
        <w:rPr>
          <w:rFonts w:ascii="Times New Roman" w:hAnsi="Times New Roman" w:cs="Times New Roman"/>
          <w:sz w:val="28"/>
          <w:szCs w:val="28"/>
        </w:rPr>
        <w:br/>
        <w:t>"Обеспечение деятельности и реализации полномочий Комитета по управлению имуществом муниципального образования "Город Майкоп" на 2018 - 202</w:t>
      </w:r>
      <w:r w:rsidR="00586777" w:rsidRPr="00586777">
        <w:rPr>
          <w:rFonts w:ascii="Times New Roman" w:hAnsi="Times New Roman" w:cs="Times New Roman"/>
          <w:sz w:val="28"/>
          <w:szCs w:val="28"/>
        </w:rPr>
        <w:t>1</w:t>
      </w:r>
      <w:r w:rsidRPr="00586777">
        <w:rPr>
          <w:rFonts w:ascii="Times New Roman" w:hAnsi="Times New Roman" w:cs="Times New Roman"/>
          <w:sz w:val="28"/>
          <w:szCs w:val="28"/>
        </w:rPr>
        <w:t> годы"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B5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муниципального образования "Город Майкоп" (далее - Комитет по управлению имуществом)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8B5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B5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8B56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муниципальным имуществом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Эффективное управ</w:t>
            </w:r>
            <w:r w:rsidR="00AD7E8D">
              <w:rPr>
                <w:rFonts w:ascii="Times New Roman" w:hAnsi="Times New Roman" w:cs="Times New Roman"/>
                <w:sz w:val="28"/>
                <w:szCs w:val="28"/>
              </w:rPr>
              <w:t>ление и распоряжение имуществом.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объектов муниципальной соб</w:t>
            </w:r>
            <w:r w:rsidR="00AD7E8D">
              <w:rPr>
                <w:rFonts w:ascii="Times New Roman" w:hAnsi="Times New Roman" w:cs="Times New Roman"/>
                <w:sz w:val="28"/>
                <w:szCs w:val="28"/>
              </w:rPr>
              <w:t>ственности и земельных участков.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управление, распоряжение и рациональное и</w:t>
            </w:r>
            <w:r w:rsidR="00AD7E8D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участков.</w:t>
            </w:r>
          </w:p>
          <w:p w:rsidR="0020304A" w:rsidRPr="005C7FEE" w:rsidRDefault="00DB19FA" w:rsidP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имущественных и земельных отношений, государственной жилищной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муниципального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образования "Город Майкоп".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технических инвентаризаций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недвижимости, находящихся в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собственности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"Город Майкоп".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зарегистрированных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в собственность муниципального образования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"Город Майкоп".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услуг.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8B5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 w:rsidP="005867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В один этап с 2018 по 202</w:t>
            </w:r>
            <w:r w:rsidR="00586777" w:rsidRPr="005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4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bookmarkEnd w:id="1"/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предусмотренный на реализацию Программы из бюджета муниципального образования "Город Майкоп" </w:t>
            </w:r>
            <w:r w:rsidR="009F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473" w:rsidRPr="009F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51687,7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тыс. руб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F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473" w:rsidRPr="009F7473">
              <w:rPr>
                <w:rFonts w:ascii="Times New Roman" w:hAnsi="Times New Roman" w:cs="Times New Roman"/>
                <w:sz w:val="28"/>
                <w:szCs w:val="28"/>
              </w:rPr>
              <w:t>32099,7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7B4F33" w:rsidRPr="005C7F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D7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9810,8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7B4F33" w:rsidRPr="005C7F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D7E8D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20304A" w:rsidRPr="00806E06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39335,1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7B4F33" w:rsidRPr="005C7F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D7E8D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86777" w:rsidRPr="00806E06" w:rsidRDefault="00586777" w:rsidP="004148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0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0A">
              <w:rPr>
                <w:rFonts w:ascii="Times New Roman" w:hAnsi="Times New Roman" w:cs="Times New Roman"/>
                <w:sz w:val="28"/>
                <w:szCs w:val="28"/>
              </w:rPr>
              <w:t>40442,1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="007B4F33" w:rsidRPr="005C7F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04A" w:rsidRPr="005C7FEE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B564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B5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посредством эффективного управления объектами муниципальной собственности.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Обеспечение и организация учета объектов муниципальной собственности и земельных участков.</w:t>
            </w:r>
          </w:p>
          <w:p w:rsidR="0020304A" w:rsidRPr="005C7FEE" w:rsidRDefault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посредством эффективного управления земельными участками, государственная собственность на которые не разграничена.</w:t>
            </w:r>
          </w:p>
          <w:p w:rsidR="0020304A" w:rsidRPr="005C7FEE" w:rsidRDefault="00DB19FA" w:rsidP="00DB19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="005C7FEE" w:rsidRPr="005C7FEE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муниципальной собственностью, направленной на увеличение доходов бюджета муниципального образования "Город Майкоп".</w:t>
            </w:r>
          </w:p>
        </w:tc>
      </w:tr>
    </w:tbl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86777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bookmarkEnd w:id="2"/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 является одной из важнейших функций муниципального образования </w:t>
      </w:r>
      <w:r w:rsidR="00DB19FA">
        <w:rPr>
          <w:rFonts w:ascii="Times New Roman" w:hAnsi="Times New Roman" w:cs="Times New Roman"/>
          <w:sz w:val="28"/>
          <w:szCs w:val="28"/>
        </w:rPr>
        <w:t xml:space="preserve">"Город Майкоп" </w:t>
      </w:r>
      <w:r w:rsidRPr="00586777">
        <w:rPr>
          <w:rFonts w:ascii="Times New Roman" w:hAnsi="Times New Roman" w:cs="Times New Roman"/>
          <w:sz w:val="28"/>
          <w:szCs w:val="28"/>
        </w:rPr>
        <w:t xml:space="preserve">и неотъемлемой частью деятельности Комитета по управлению имуществом муниципального образования </w:t>
      </w:r>
      <w:r w:rsidR="00DB19FA">
        <w:rPr>
          <w:rFonts w:ascii="Times New Roman" w:hAnsi="Times New Roman" w:cs="Times New Roman"/>
          <w:sz w:val="28"/>
          <w:szCs w:val="28"/>
        </w:rPr>
        <w:t>"Город Майкоп" (далее - Комитет</w:t>
      </w:r>
      <w:r w:rsidRPr="00586777">
        <w:rPr>
          <w:rFonts w:ascii="Times New Roman" w:hAnsi="Times New Roman" w:cs="Times New Roman"/>
          <w:sz w:val="28"/>
          <w:szCs w:val="28"/>
        </w:rPr>
        <w:t xml:space="preserve"> по управлению имуществом).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От эффективности управления и распоряжения муниципальным имуществом и земельными участками, государственная собственность на которые не разграничена, в значительной степени зависят объемы поступлений в </w:t>
      </w:r>
      <w:r w:rsidR="00DB19FA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"Город Майкоп" (далее - </w:t>
      </w:r>
      <w:r w:rsidRPr="00586777">
        <w:rPr>
          <w:rFonts w:ascii="Times New Roman" w:hAnsi="Times New Roman" w:cs="Times New Roman"/>
          <w:sz w:val="28"/>
          <w:szCs w:val="28"/>
        </w:rPr>
        <w:t>местный бюджет</w:t>
      </w:r>
      <w:r w:rsidR="00DB19FA">
        <w:rPr>
          <w:rFonts w:ascii="Times New Roman" w:hAnsi="Times New Roman" w:cs="Times New Roman"/>
          <w:sz w:val="28"/>
          <w:szCs w:val="28"/>
        </w:rPr>
        <w:t>)</w:t>
      </w:r>
      <w:r w:rsidRPr="00586777">
        <w:rPr>
          <w:rFonts w:ascii="Times New Roman" w:hAnsi="Times New Roman" w:cs="Times New Roman"/>
          <w:sz w:val="28"/>
          <w:szCs w:val="28"/>
        </w:rPr>
        <w:t xml:space="preserve"> неналоговых доходов.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Имущество и объекты муниципальной собственности включает в себя: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имущество и объекты, переданные в муниципальную собственность в порядке, предусмотренном законодательством о </w:t>
      </w:r>
      <w:r w:rsidRPr="00586777">
        <w:rPr>
          <w:rFonts w:ascii="Times New Roman" w:hAnsi="Times New Roman" w:cs="Times New Roman"/>
          <w:sz w:val="28"/>
          <w:szCs w:val="28"/>
        </w:rPr>
        <w:lastRenderedPageBreak/>
        <w:t>разграничении государственной собственности на государственную (федеральную) и муниципальную собственность;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недвижимое имущество, в том числе здания, сооружения, жилые и нежилые помещения;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земельные участки, находящиеся в муниципальной собственности;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движимое имущество, в том числе ценные бумаги, пакеты акций, долей в основном капитале хозяйствующих субъектов, нематериальные активы;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муниципальное имущество, закрепленное за муниципальными учреждениями на праве оперативного управления;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муниципальное имущество, закрепленное за муниципальными унитарными предприятиями на праве хозяйственного ведения;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имущество казны.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Деятельность Комитета по управлению имуществом направлена </w:t>
      </w:r>
      <w:proofErr w:type="gramStart"/>
      <w:r w:rsidRPr="005867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6777">
        <w:rPr>
          <w:rFonts w:ascii="Times New Roman" w:hAnsi="Times New Roman" w:cs="Times New Roman"/>
          <w:sz w:val="28"/>
          <w:szCs w:val="28"/>
        </w:rPr>
        <w:t>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создание условий для вовлечения в хозяйственный оборот объектов муниципального имущества и земельных участков, государственная собственность, на которые не разграничена;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снижение уровня имеющейся задолженности по арендной плате;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уменьшение количества объектов муниципального имущества и земельных участков, государственная собственность на которые не разграничена, используемых не по назначению,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социальных гарантий в области жилищных прав граждан.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Кроме того, Комитет по управлению имуществом осуществляет мероприятия по оформлению и регистрации бесхозяйного имущества в собственность муниципального образования "Город Майкоп", что также позволяет не только обеспечить надлежащее функционирование объектов, но и вовлечь их в хозяйственный оборот.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Повышение доходности от распоряжения собственностью </w:t>
      </w:r>
      <w:r w:rsidR="00DB19FA" w:rsidRPr="005867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19FA">
        <w:rPr>
          <w:rFonts w:ascii="Times New Roman" w:hAnsi="Times New Roman" w:cs="Times New Roman"/>
          <w:sz w:val="28"/>
          <w:szCs w:val="28"/>
        </w:rPr>
        <w:t xml:space="preserve">"Город Майкоп" </w:t>
      </w:r>
      <w:r w:rsidRPr="00586777">
        <w:rPr>
          <w:rFonts w:ascii="Times New Roman" w:hAnsi="Times New Roman" w:cs="Times New Roman"/>
          <w:sz w:val="28"/>
          <w:szCs w:val="28"/>
        </w:rPr>
        <w:t xml:space="preserve">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Основной целью жилищной политики в муниципальном образовании "Город Майкоп"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Работа по достижению указанной цели осуществляется отделом жилищных отношений Комитета по управлению имуществом по следующим направлениям: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поддержка молодых семей в улучшении жилищных условий;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жильем малоимущих граждан по договору социального найма;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жильем инвалидов и семей, имеющих детей-</w:t>
      </w:r>
      <w:r w:rsidRPr="00586777">
        <w:rPr>
          <w:rFonts w:ascii="Times New Roman" w:hAnsi="Times New Roman" w:cs="Times New Roman"/>
          <w:sz w:val="28"/>
          <w:szCs w:val="28"/>
        </w:rPr>
        <w:lastRenderedPageBreak/>
        <w:t>инвалидов;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жильем ветеранов боевых действий;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жильем граждан из числа реабилитированных лиц, признанных пострадавшими от политических репрессий;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жильем ветеранов Великой Отечественной войны 1941 - 1945 годов;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жильем категорий граждан, установленных федеральным законодательством, в том числе федеральной целевой программы "Жилище" на 2015 - 2020 годы;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Основными проблемными вопросами в сфере имущественных, земельных и жилищных отношений в настоящее время остаются: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1. Устаревшая техническая документация или ее отсутствие. Наличие технической документации на объект недвижимости является обязательным требованием при проведении государственной регистрации права муниципальной собственности. </w:t>
      </w:r>
      <w:proofErr w:type="gramStart"/>
      <w:r w:rsidRPr="00586777">
        <w:rPr>
          <w:rFonts w:ascii="Times New Roman" w:hAnsi="Times New Roman" w:cs="Times New Roman"/>
          <w:sz w:val="28"/>
          <w:szCs w:val="28"/>
        </w:rPr>
        <w:t>Свидетельство права собственности муниципального образования "Город Майкоп" (выписка из ЕГРН) на объект недвижимости, в свою очередь, необходимо при передаче объектов в аренду на торгах либо при приватизации имущества в частную собственность, постановки на учет бесхозяйного недвижимого имущества, признания права муниципального образования "Город Майкоп" на бесхозяйные объекты и прочее, в частности, в собственности муниципального образования "Город Майкоп" находится 651 км незарегистрированных</w:t>
      </w:r>
      <w:proofErr w:type="gramEnd"/>
      <w:r w:rsidRPr="00586777">
        <w:rPr>
          <w:rFonts w:ascii="Times New Roman" w:hAnsi="Times New Roman" w:cs="Times New Roman"/>
          <w:sz w:val="28"/>
          <w:szCs w:val="28"/>
        </w:rPr>
        <w:t xml:space="preserve"> автомобильных дорог. По приблизительным расчетам, на их регистрацию потребуется более 20,0 млн. руб. бюджетных средств.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2. Отсутствие свободных земельных участков, необходимых как для предоставления льготным категориям граждан (многодетные, молодые семьи, инвалиды и семьи инвалидов), так и для предоставления земельных участков через аукционы.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3. Недостаточность полномочий у муниципального земельного контроля по оперативному применению к нарушителям земельного законодательства мер воздействия и наказания.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67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867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586777">
        <w:rPr>
          <w:rFonts w:ascii="Times New Roman" w:hAnsi="Times New Roman" w:cs="Times New Roman"/>
          <w:sz w:val="28"/>
          <w:szCs w:val="28"/>
        </w:rPr>
        <w:t xml:space="preserve"> Российской Федерации при подготовке и организации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в аукционной документации необходимо указывать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сроки действия технических условий, плату за подключение</w:t>
      </w:r>
      <w:proofErr w:type="gramEnd"/>
      <w:r w:rsidRPr="00586777">
        <w:rPr>
          <w:rFonts w:ascii="Times New Roman" w:hAnsi="Times New Roman" w:cs="Times New Roman"/>
          <w:sz w:val="28"/>
          <w:szCs w:val="28"/>
        </w:rPr>
        <w:t xml:space="preserve"> (технологическое присоединение) на дату опубликования указанного извещения. Также одним из основных условий при подготовке аукционной документации является плата за подключение, </w:t>
      </w:r>
      <w:proofErr w:type="spellStart"/>
      <w:r w:rsidRPr="00586777">
        <w:rPr>
          <w:rFonts w:ascii="Times New Roman" w:hAnsi="Times New Roman" w:cs="Times New Roman"/>
          <w:sz w:val="28"/>
          <w:szCs w:val="28"/>
        </w:rPr>
        <w:lastRenderedPageBreak/>
        <w:t>ресурсоснабжающие</w:t>
      </w:r>
      <w:proofErr w:type="spellEnd"/>
      <w:r w:rsidRPr="00586777">
        <w:rPr>
          <w:rFonts w:ascii="Times New Roman" w:hAnsi="Times New Roman" w:cs="Times New Roman"/>
          <w:sz w:val="28"/>
          <w:szCs w:val="28"/>
        </w:rPr>
        <w:t xml:space="preserve"> предприятия данную информацию не предоставляют. При этом предоставленная данными предприятиями информация не соответствует требованиям Земельного кодекса РФ.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Для увеличения эффективности деятельности Комитета по управлению имуществом необходимо создать оптимальные условия для работы. Одну из важнейших ролей в этом направлении играют информационные технологии.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Перед сотрудниками Комитета по управлению имуществом стоят задачи по внедрению и использованию современных методов организации труда и схема ведения делопроизводства для быстрого принятия решений и исполнения полномочий.</w:t>
      </w:r>
    </w:p>
    <w:p w:rsidR="0020304A" w:rsidRPr="00586777" w:rsidRDefault="005C7FEE" w:rsidP="007B4F33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сотрудников аппарата Комитета по управлению имуществом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20304A" w:rsidRPr="007B4F33" w:rsidRDefault="007B4F33" w:rsidP="007B4F3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Муниципальная программа </w:t>
      </w:r>
      <w:r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"Обеспечение деятельности и реализации полномочий Комитета по управлению имуществом муниципального образования "Город Майкоп" на 2018 - 2021 годы</w:t>
      </w:r>
      <w:r w:rsidRPr="007B4F33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5C7FEE"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Программа</w:t>
      </w:r>
      <w:r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5C7FEE"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определяет действия Комитета по управлению имуществом, направленные на создание условий для вовлечения в хозяйственный оборот объектов муниципального имущества, снижение уровня имеющейся задолженности по арендой плате, количества земельных участков, используемых не по назначению, и проверку обоснованности сумм исковых требований о</w:t>
      </w:r>
      <w:proofErr w:type="gramEnd"/>
      <w:r w:rsidR="005C7FEE"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5C7FEE"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взыскании</w:t>
      </w:r>
      <w:proofErr w:type="gramEnd"/>
      <w:r w:rsidR="005C7FEE"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стоимости оказанных услуг по содержанию общего долевого имущества и коммунальных услуг, предъявленных к муниципальному образованию "Город Майкоп", что позволит повысить эффективность управления</w:t>
      </w:r>
      <w:r w:rsidR="00DB19FA" w:rsidRPr="00DB19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B19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имуществом</w:t>
      </w:r>
      <w:r w:rsidR="005C7FEE" w:rsidRPr="007B4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целом.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86777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bookmarkEnd w:id="3"/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6777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осуществляет свою деятельность согласно Положению о Комитете по управлению имуществом муниципального образования "Город Майкоп", утвержденному </w:t>
      </w:r>
      <w:r w:rsidR="00DB19FA">
        <w:rPr>
          <w:rFonts w:ascii="Times New Roman" w:hAnsi="Times New Roman" w:cs="Times New Roman"/>
          <w:sz w:val="28"/>
          <w:szCs w:val="28"/>
        </w:rPr>
        <w:t>Р</w:t>
      </w:r>
      <w:r w:rsidRPr="00586777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19FA">
        <w:rPr>
          <w:rFonts w:ascii="Times New Roman" w:hAnsi="Times New Roman" w:cs="Times New Roman"/>
          <w:sz w:val="28"/>
          <w:szCs w:val="28"/>
        </w:rPr>
        <w:t>С</w:t>
      </w:r>
      <w:r w:rsidRPr="00586777">
        <w:rPr>
          <w:rFonts w:ascii="Times New Roman" w:hAnsi="Times New Roman" w:cs="Times New Roman"/>
          <w:sz w:val="28"/>
          <w:szCs w:val="28"/>
        </w:rPr>
        <w:t xml:space="preserve">овета народных депутатов муниципального образования "Город Майкоп" от 23.07.2014 N 66-рс и в рамках предоставленных ему полномочий в соответствии с </w:t>
      </w:r>
      <w:hyperlink r:id="rId9" w:history="1">
        <w:r w:rsidRPr="005867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1 ст. 16</w:t>
        </w:r>
      </w:hyperlink>
      <w:r w:rsidRPr="0058677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Федерации".</w:t>
      </w:r>
      <w:proofErr w:type="gramEnd"/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Согласно требованиям действующего законодательства в области </w:t>
      </w:r>
      <w:r w:rsidRPr="00586777">
        <w:rPr>
          <w:rFonts w:ascii="Times New Roman" w:hAnsi="Times New Roman" w:cs="Times New Roman"/>
          <w:sz w:val="28"/>
          <w:szCs w:val="28"/>
        </w:rPr>
        <w:lastRenderedPageBreak/>
        <w:t>земельных отношений и признания прав собственника на недвижимое имущество, единственным доказательством существования зарегистрированного права является государственная регистрация. Одним из основных документов, представляемых для регистрации права, является кадастровый паспорт на объект недвижимости и земельный участок.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Кадастровые работы по определению местоположения границ земельных участков и постановка на государственный кадастровый учет земельных участков, подлежащих отнесению к собственности муниципального образования "Город Майкоп", проводятся в соответствии с действующим законодательством.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5867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586777">
        <w:rPr>
          <w:rFonts w:ascii="Times New Roman" w:hAnsi="Times New Roman" w:cs="Times New Roman"/>
          <w:sz w:val="28"/>
          <w:szCs w:val="28"/>
        </w:rPr>
        <w:t xml:space="preserve"> от 25 октября 2001 г. N 137-ФЗ "О ведении в действие Земельного кодекса Российской Федерации", необходимыми являются: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проведение работ, связанных с разграничением госсобственности на землю и постановкой на государственный кадастровый учет земельных участков, подлежащих отнесению к собственности муниципального образования "Город Майкоп";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формирование земельных участков, государственная собственность на которые не разграничена, и постановка их на государственный кадастровый учет.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867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86777">
        <w:rPr>
          <w:rFonts w:ascii="Times New Roman" w:hAnsi="Times New Roman" w:cs="Times New Roman"/>
          <w:sz w:val="28"/>
          <w:szCs w:val="28"/>
        </w:rPr>
        <w:t xml:space="preserve"> от 29 июля 1998 г. "Об оценочной деятельности в РФ" N 135-ФЗ, проведение оценки объектов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при определении стоимости объектов оценки, принадлежащих муниципальному образованию, в целях их приватизации, передаче в доверительное управление либо передаче в аренду;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при использовании объектов оценки, принадлежащих муниципальному образованию, в качестве предмета залога;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при продаже или ином отчуждении объектов оценки, принадлежащих муниципальному образованию;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при переуступке долговых обязательств, связанных с объектами оценки, принадлежащих муниципальному образованию;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при передаче объектов оценки, принадлежащих муниципальному образованию, в качестве вклада в уставные капиталы, фонды юридических лиц.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сотрудников Комитета по управлению имуществом Администрации муниципального образования "Город Майкоп" в настоящее время невозможно без решения проблем материально-технического, ресурсного обеспечения.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"Город Майкоп" и обеспечению эффективного управления ею.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позволит: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осуществить государственную регистрацию права собственности муниципального образования "Город Майкоп" на объекты недвижимости;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провести техническую инвентаризацию объектов недвижимости, находящихся в муниципальной собственности муниципального образования "Город Майкоп";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осуществить оценку рыночной стоимости объектов собственности и земельных участков муниципального образования "Город Майкоп", вовлекаемых в сделки;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подготовить документацию для организации и проведения торгов на право заключения договоров аренды и на право собственности;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разграничить государственную собственность на землю;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увеличить количество земельных участков, поставленных на государственный кадастровый учет и прошедших процедуру государственной регистрации права собственности муниципального образования "Город Майкоп";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увеличить долю земель, находящихся в муниципальной собственности муниципального образования "Город Майкоп".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увеличить доходы бюджета посредством эффективного управления объектами муниципальной собственности и земельными участками, государственная собственность на которые не разграничена;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обеспечить организацию и ведение учета объектов муниципальной собственности и земельных участков, государственная собственность на которые не разграничена.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Деятельность Комитета по управлению имуществом направлена на реализацию государственной политики в области имущественных и земельных отношений, повышение эффективности управления муниципальной собственностью, направленной на увеличение доходов бюджета муниципального образования "Город Майкоп".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Комитет по управлению имуществом при осуществлении своей деятельности руководствуется следующей нормативно-правовой базой:</w:t>
      </w:r>
    </w:p>
    <w:p w:rsidR="0020304A" w:rsidRPr="00586777" w:rsidRDefault="0041480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3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Гражданский кодекс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4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5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6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7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Бюджетный кодекс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8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от 6 октября 2003 г. N 131-ФЗ "Об общих принципах организации местного самоуправления в Российской Федерации"; </w:t>
      </w:r>
      <w:hyperlink r:id="rId19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от 21 декабря 2001 г. N 178-ФЗ "О приватизации государственного и муниципального имущества"; </w:t>
      </w:r>
      <w:hyperlink r:id="rId20" w:history="1">
        <w:proofErr w:type="gramStart"/>
        <w:r w:rsidR="005C7FEE" w:rsidRPr="0058677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от 22 июля 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 </w:t>
      </w:r>
      <w:hyperlink r:id="rId21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РФ от 4 июля 1991 г. N 1541-I "О приватизации жилищного фонда в Российской Федерации";</w:t>
      </w:r>
      <w:proofErr w:type="gramEnd"/>
      <w:r w:rsidR="005C7FEE" w:rsidRPr="0058677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от 14 ноября 2002 г. N 161-ФЗ "О государственных и муниципальных унитарных предприятиях"; </w:t>
      </w:r>
      <w:hyperlink r:id="rId23" w:history="1">
        <w:proofErr w:type="gramStart"/>
        <w:r w:rsidR="005C7FEE" w:rsidRPr="0058677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</w:t>
      </w:r>
      <w:r w:rsidR="005C7FEE" w:rsidRPr="00586777">
        <w:rPr>
          <w:rFonts w:ascii="Times New Roman" w:hAnsi="Times New Roman" w:cs="Times New Roman"/>
          <w:sz w:val="28"/>
          <w:szCs w:val="28"/>
        </w:rPr>
        <w:lastRenderedPageBreak/>
        <w:t>Федеральной антимонопольной службы от 10 февраля 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Постановление Совета</w:t>
      </w:r>
      <w:proofErr w:type="gramEnd"/>
      <w:r w:rsidR="005C7FEE" w:rsidRPr="00586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FEE" w:rsidRPr="00586777">
        <w:rPr>
          <w:rFonts w:ascii="Times New Roman" w:hAnsi="Times New Roman" w:cs="Times New Roman"/>
          <w:sz w:val="28"/>
          <w:szCs w:val="28"/>
        </w:rPr>
        <w:t xml:space="preserve">народных депутатов муниципального образования "Город Майкоп" от 18 февраля 2016 г. N 167-ПС "О Положении "О порядке управления и распоряжения муниципальной собственностью муниципального образования "Город Майкоп"; </w:t>
      </w:r>
      <w:hyperlink r:id="rId24" w:history="1">
        <w:r w:rsidR="005C7FEE" w:rsidRPr="0058677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C7FEE" w:rsidRPr="00586777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"Город Майкоп" Республики Адыгея от 23 июля 2014 г. N 66-рс "Об утверждении Положения о Комитете по управлению имуществом муниципального образования "Город Майкоп".</w:t>
      </w:r>
      <w:proofErr w:type="gramEnd"/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управления и распоряжения муниципальным имуществом.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эффективное управление и распоряжение имуществом;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совершенствование системы учета объектов муниципальной собственности и земельных участков;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эффективное управление, распоряжение и рациональное использование земельных участков;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</w:t>
      </w:r>
      <w:r w:rsidR="00AD7E8D">
        <w:rPr>
          <w:rFonts w:ascii="Times New Roman" w:hAnsi="Times New Roman" w:cs="Times New Roman"/>
          <w:sz w:val="28"/>
          <w:szCs w:val="28"/>
        </w:rPr>
        <w:t>р</w:t>
      </w:r>
      <w:r w:rsidR="00AD7E8D" w:rsidRPr="005C7FEE">
        <w:rPr>
          <w:rFonts w:ascii="Times New Roman" w:hAnsi="Times New Roman" w:cs="Times New Roman"/>
          <w:sz w:val="28"/>
          <w:szCs w:val="28"/>
        </w:rPr>
        <w:t>еализация государственной политики в области имущественных и земельных отношений, государственной жилищной политики</w:t>
      </w:r>
      <w:r w:rsidR="00AD7E8D">
        <w:rPr>
          <w:rFonts w:ascii="Times New Roman" w:hAnsi="Times New Roman" w:cs="Times New Roman"/>
          <w:sz w:val="28"/>
          <w:szCs w:val="28"/>
        </w:rPr>
        <w:t>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Ход реализации Программы, достижение целей и решение задач характеризуют целевые показатели эффективности ее реализации, представленные в </w:t>
      </w:r>
      <w:hyperlink w:anchor="sub_1004" w:history="1">
        <w:r w:rsidRPr="009F7473">
          <w:rPr>
            <w:rFonts w:ascii="Times New Roman" w:hAnsi="Times New Roman" w:cs="Times New Roman"/>
            <w:sz w:val="28"/>
            <w:szCs w:val="28"/>
          </w:rPr>
          <w:t>таблице N 1</w:t>
        </w:r>
      </w:hyperlink>
      <w:r w:rsidRPr="00586777">
        <w:rPr>
          <w:rFonts w:ascii="Times New Roman" w:hAnsi="Times New Roman" w:cs="Times New Roman"/>
          <w:sz w:val="28"/>
          <w:szCs w:val="28"/>
        </w:rPr>
        <w:t>.</w:t>
      </w:r>
    </w:p>
    <w:p w:rsidR="0020304A" w:rsidRPr="00586777" w:rsidRDefault="005C7FE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586777">
        <w:rPr>
          <w:rStyle w:val="a3"/>
          <w:rFonts w:ascii="Times New Roman" w:hAnsi="Times New Roman" w:cs="Times New Roman"/>
          <w:sz w:val="28"/>
          <w:szCs w:val="28"/>
        </w:rPr>
        <w:t xml:space="preserve">Таблица </w:t>
      </w:r>
      <w:r w:rsidR="00403BC3">
        <w:rPr>
          <w:rStyle w:val="a3"/>
          <w:rFonts w:ascii="Times New Roman" w:hAnsi="Times New Roman" w:cs="Times New Roman"/>
          <w:sz w:val="28"/>
          <w:szCs w:val="28"/>
        </w:rPr>
        <w:t xml:space="preserve">№ 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t>1</w:t>
      </w:r>
    </w:p>
    <w:bookmarkEnd w:id="4"/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709"/>
        <w:gridCol w:w="850"/>
        <w:gridCol w:w="992"/>
        <w:gridCol w:w="851"/>
        <w:gridCol w:w="850"/>
        <w:gridCol w:w="993"/>
      </w:tblGrid>
      <w:tr w:rsidR="0020304A" w:rsidRPr="005C7FEE" w:rsidTr="008F21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3" w:rsidRDefault="00403BC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20304A" w:rsidRPr="005C7FEE" w:rsidTr="004E781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2030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2030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2030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2030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777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FEE">
              <w:rPr>
                <w:rFonts w:ascii="Times New Roman" w:hAnsi="Times New Roman" w:cs="Times New Roman"/>
              </w:rPr>
              <w:t>(отчет)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777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FEE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777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6777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6777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304A" w:rsidRPr="005C7FEE" w:rsidTr="008F21B3"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04A" w:rsidRPr="005C7FEE" w:rsidRDefault="005C7FEE" w:rsidP="007B4F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реализации полномочий комитета по управлению имуществом муниципального образования "Город Майкоп" на 2018 - 202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E94276" w:rsidRPr="005C7FEE" w:rsidTr="004E78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Pr="005C7FEE" w:rsidRDefault="00E9427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имущества, зарегистрированных в собственность муниципального образования "Город Майкоп".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Pr="004E781D" w:rsidRDefault="00E94276" w:rsidP="004E781D">
            <w:pPr>
              <w:pStyle w:val="ac"/>
              <w:ind w:left="-108" w:right="-108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lastRenderedPageBreak/>
              <w:t>Информация отдела муниципаль</w:t>
            </w:r>
            <w:r w:rsidRPr="004E781D">
              <w:rPr>
                <w:rFonts w:ascii="Times New Roman" w:hAnsi="Times New Roman" w:cs="Times New Roman"/>
              </w:rPr>
              <w:lastRenderedPageBreak/>
              <w:t>ных ресурсов Комитета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94276" w:rsidRPr="005C7FEE" w:rsidTr="004E78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Pr="005C7FEE" w:rsidRDefault="00E9427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технических инвентаризаций объектов недвижимости, находящихся в муниципальной собственности муниципального образования "Город Майкоп"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6" w:rsidRPr="004E781D" w:rsidRDefault="00E94276" w:rsidP="004E781D">
            <w:pPr>
              <w:pStyle w:val="ac"/>
              <w:ind w:left="-108" w:right="-108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276" w:rsidRPr="005C7FEE" w:rsidRDefault="00E9427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1B1" w:rsidRPr="005C7FEE" w:rsidTr="004E78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1" w:rsidRPr="005C7FEE" w:rsidRDefault="007F01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зарегистрированных в собственность муниципального образования "Город Майкоп".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1" w:rsidRPr="004E781D" w:rsidRDefault="007F01B1" w:rsidP="004E781D">
            <w:pPr>
              <w:pStyle w:val="ac"/>
              <w:ind w:left="-108" w:right="-108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t>Информация отдела земельных отношений Комитета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1B1" w:rsidRPr="005C7FEE" w:rsidRDefault="007F01B1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304A" w:rsidRPr="005C7FEE" w:rsidTr="004E78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4E781D" w:rsidRDefault="005C7FEE" w:rsidP="004E781D">
            <w:pPr>
              <w:pStyle w:val="ac"/>
              <w:ind w:left="-108" w:right="-108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t>Информация отделов:</w:t>
            </w:r>
          </w:p>
          <w:p w:rsidR="0020304A" w:rsidRPr="004E781D" w:rsidRDefault="005C7FEE" w:rsidP="004E781D">
            <w:pPr>
              <w:pStyle w:val="ac"/>
              <w:ind w:left="-108" w:right="-108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t>муниципальных ресурсов;</w:t>
            </w:r>
          </w:p>
          <w:p w:rsidR="0020304A" w:rsidRPr="004E781D" w:rsidRDefault="005C7FEE" w:rsidP="004E781D">
            <w:pPr>
              <w:pStyle w:val="ac"/>
              <w:ind w:left="-108" w:right="-108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t>отдела земельных отношений;</w:t>
            </w:r>
          </w:p>
          <w:p w:rsidR="0020304A" w:rsidRPr="004E781D" w:rsidRDefault="005C7FEE" w:rsidP="004E781D">
            <w:pPr>
              <w:pStyle w:val="ac"/>
              <w:ind w:left="-108" w:right="-250"/>
              <w:rPr>
                <w:rFonts w:ascii="Times New Roman" w:hAnsi="Times New Roman" w:cs="Times New Roman"/>
              </w:rPr>
            </w:pPr>
            <w:r w:rsidRPr="004E781D">
              <w:rPr>
                <w:rFonts w:ascii="Times New Roman" w:hAnsi="Times New Roman" w:cs="Times New Roman"/>
              </w:rPr>
              <w:t>отдела жилищных отношений Комитета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806E0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806E06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E0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04A" w:rsidRPr="005C7FEE" w:rsidRDefault="005C7FEE" w:rsidP="004E78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</w:tbl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Реализация Программы предполагает получение следующих результатов: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увеличение доходов бюджета посредством эффективного управления объектами муниципальной собственности;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lastRenderedPageBreak/>
        <w:t>- обеспечение и организация учета объектов муниципальной собственности и земельных участков;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увеличение доходов бюджета посредством эффективного управления земельными участками, государственная собственность на которые не разграничена;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</w:t>
      </w:r>
      <w:r w:rsidR="00AD7E8D">
        <w:rPr>
          <w:rFonts w:ascii="Times New Roman" w:hAnsi="Times New Roman" w:cs="Times New Roman"/>
          <w:sz w:val="28"/>
          <w:szCs w:val="28"/>
        </w:rPr>
        <w:t>п</w:t>
      </w:r>
      <w:r w:rsidR="00AD7E8D" w:rsidRPr="005C7FEE">
        <w:rPr>
          <w:rFonts w:ascii="Times New Roman" w:hAnsi="Times New Roman" w:cs="Times New Roman"/>
          <w:sz w:val="28"/>
          <w:szCs w:val="28"/>
        </w:rPr>
        <w:t>овышение эффективности управления муниципальной собственностью, направленной на увеличение доходов бюджета муниципального образования "Город Майкоп".</w:t>
      </w:r>
    </w:p>
    <w:p w:rsidR="0020304A" w:rsidRPr="00586777" w:rsidRDefault="007B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FEE" w:rsidRPr="00586777">
        <w:rPr>
          <w:rFonts w:ascii="Times New Roman" w:hAnsi="Times New Roman" w:cs="Times New Roman"/>
          <w:sz w:val="28"/>
          <w:szCs w:val="28"/>
        </w:rPr>
        <w:t>рограмма реализуется в 2018 - 202</w:t>
      </w:r>
      <w:r w:rsidR="007F01B1" w:rsidRPr="007F01B1">
        <w:rPr>
          <w:rFonts w:ascii="Times New Roman" w:hAnsi="Times New Roman" w:cs="Times New Roman"/>
          <w:sz w:val="28"/>
          <w:szCs w:val="28"/>
        </w:rPr>
        <w:t>1</w:t>
      </w:r>
      <w:r w:rsidR="005C7FEE" w:rsidRPr="00586777">
        <w:rPr>
          <w:rFonts w:ascii="Times New Roman" w:hAnsi="Times New Roman" w:cs="Times New Roman"/>
          <w:sz w:val="28"/>
          <w:szCs w:val="28"/>
        </w:rPr>
        <w:t xml:space="preserve"> годах.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7FEE" w:rsidRPr="00586777">
        <w:rPr>
          <w:rFonts w:ascii="Times New Roman" w:hAnsi="Times New Roman" w:cs="Times New Roman"/>
          <w:sz w:val="28"/>
          <w:szCs w:val="28"/>
        </w:rPr>
        <w:t>рограммы не выделяются.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7B4F33">
        <w:rPr>
          <w:rFonts w:ascii="Times New Roman" w:hAnsi="Times New Roman" w:cs="Times New Roman"/>
          <w:sz w:val="28"/>
          <w:szCs w:val="28"/>
        </w:rPr>
        <w:t>П</w:t>
      </w:r>
      <w:r w:rsidRPr="00586777">
        <w:rPr>
          <w:rFonts w:ascii="Times New Roman" w:hAnsi="Times New Roman" w:cs="Times New Roman"/>
          <w:sz w:val="28"/>
          <w:szCs w:val="28"/>
        </w:rPr>
        <w:t>рограммы предусматривают комплекс взаимосвязанных мер, направленных на достижение цели муниципальной программы.</w:t>
      </w:r>
    </w:p>
    <w:p w:rsidR="0020304A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7B4F33">
        <w:rPr>
          <w:rFonts w:ascii="Times New Roman" w:hAnsi="Times New Roman" w:cs="Times New Roman"/>
          <w:sz w:val="28"/>
          <w:szCs w:val="28"/>
        </w:rPr>
        <w:t>П</w:t>
      </w:r>
      <w:r w:rsidRPr="00586777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hyperlink w:anchor="sub_1006" w:history="1">
        <w:r w:rsidRPr="007F01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таблице </w:t>
        </w:r>
        <w:r w:rsidR="00403B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7F01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 w:rsidRPr="007F01B1">
        <w:rPr>
          <w:rFonts w:ascii="Times New Roman" w:hAnsi="Times New Roman" w:cs="Times New Roman"/>
          <w:sz w:val="28"/>
          <w:szCs w:val="28"/>
        </w:rPr>
        <w:t>.</w:t>
      </w:r>
    </w:p>
    <w:p w:rsidR="008C3F1E" w:rsidRPr="00806E06" w:rsidRDefault="008C3F1E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5" w:name="sub_1006"/>
    </w:p>
    <w:p w:rsidR="00943160" w:rsidRDefault="0094316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943160" w:rsidSect="00086686"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20304A" w:rsidRPr="00586777" w:rsidRDefault="005C7FEE" w:rsidP="008F21B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6777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03BC3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t> 2</w:t>
      </w:r>
    </w:p>
    <w:bookmarkEnd w:id="5"/>
    <w:p w:rsidR="0020304A" w:rsidRPr="00586777" w:rsidRDefault="0020304A" w:rsidP="008F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"/>
        <w:gridCol w:w="3104"/>
        <w:gridCol w:w="1985"/>
        <w:gridCol w:w="1559"/>
        <w:gridCol w:w="1985"/>
        <w:gridCol w:w="2976"/>
        <w:gridCol w:w="2410"/>
      </w:tblGrid>
      <w:tr w:rsidR="0020304A" w:rsidRPr="005C7FEE" w:rsidTr="008F21B3"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3" w:rsidRDefault="00403BC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Связь с целевыми показателями (индикаторам) программы</w:t>
            </w:r>
          </w:p>
        </w:tc>
      </w:tr>
      <w:tr w:rsidR="0020304A" w:rsidRPr="005C7FEE" w:rsidTr="008F21B3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0304A" w:rsidRPr="005C7FEE" w:rsidRDefault="005C7FEE" w:rsidP="007B4F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реализации полномочий Комитета по управлению имуществом муниципального образования "Город Майкоп" на 2018 - 202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20304A" w:rsidRPr="005C7FEE" w:rsidTr="008F21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1: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"Эффективное управление, распоряжение имуществом, находящимся в муниципальной собственности муниципального образования "Город Майкоп"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C3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8C3F1E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и распоряжение имуществом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посредством эффективного управления объектами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Показатель N 1</w:t>
            </w:r>
          </w:p>
        </w:tc>
      </w:tr>
      <w:tr w:rsidR="0020304A" w:rsidRPr="005C7FEE" w:rsidTr="008F21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"Совершенствование системы учета и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объектов собственности муниципального образования "Город Майкоп"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C3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8C3F1E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учета объектов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и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организации и ведения учета объектов муниципальной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20304A" w:rsidRPr="005C7FEE" w:rsidRDefault="005C7FEE" w:rsidP="007B4F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N 2</w:t>
            </w:r>
          </w:p>
        </w:tc>
      </w:tr>
      <w:tr w:rsidR="0020304A" w:rsidRPr="005C7FEE" w:rsidTr="008F21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3: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"Эффективное управление, распоряжение и рациональное использование земельных участков, находящихся в собственности муниципального образования "Город Майкоп", а также земельных участков государственная собственность, на которые не разграничена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в г. Майкопе"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C3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8C3F1E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посредством эффективного управления земельными участками, государственная собственность на которые не разграничена.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 w:rsidP="007B4F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N 3</w:t>
            </w:r>
          </w:p>
        </w:tc>
      </w:tr>
      <w:tr w:rsidR="0020304A" w:rsidRPr="005C7FEE" w:rsidTr="008F21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5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6"/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4:</w:t>
            </w:r>
          </w:p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"Организация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качественного и эффективного исполнения полномочий Комитета по управлению имуществом муниципального образования "Город Майкоп"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5C7FEE" w:rsidP="008C3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8C3F1E" w:rsidRPr="005C7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AD7E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имущественных и земельных отношений, государственной жилищной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A" w:rsidRPr="005C7FEE" w:rsidRDefault="00AD7E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управления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собственностью, направленной на увеличение доходов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"Город Майкоп"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04A" w:rsidRPr="005C7FEE" w:rsidRDefault="005C7F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N 4</w:t>
            </w:r>
          </w:p>
        </w:tc>
      </w:tr>
    </w:tbl>
    <w:p w:rsidR="00943160" w:rsidRDefault="00943160">
      <w:pPr>
        <w:rPr>
          <w:rFonts w:ascii="Times New Roman" w:hAnsi="Times New Roman" w:cs="Times New Roman"/>
          <w:sz w:val="28"/>
          <w:szCs w:val="28"/>
        </w:rPr>
        <w:sectPr w:rsidR="00943160" w:rsidSect="00943160">
          <w:pgSz w:w="16837" w:h="11905" w:orient="landscape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586777">
        <w:rPr>
          <w:rFonts w:ascii="Times New Roman" w:hAnsi="Times New Roman" w:cs="Times New Roman"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bookmarkEnd w:id="7"/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7B4F33">
        <w:rPr>
          <w:rFonts w:ascii="Times New Roman" w:hAnsi="Times New Roman" w:cs="Times New Roman"/>
          <w:sz w:val="28"/>
          <w:szCs w:val="28"/>
        </w:rPr>
        <w:t>П</w:t>
      </w:r>
      <w:r w:rsidRPr="00586777">
        <w:rPr>
          <w:rFonts w:ascii="Times New Roman" w:hAnsi="Times New Roman" w:cs="Times New Roman"/>
          <w:sz w:val="28"/>
          <w:szCs w:val="28"/>
        </w:rPr>
        <w:t>рограммы принятия нормативн</w:t>
      </w:r>
      <w:r w:rsidR="007B4F33">
        <w:rPr>
          <w:rFonts w:ascii="Times New Roman" w:hAnsi="Times New Roman" w:cs="Times New Roman"/>
          <w:sz w:val="28"/>
          <w:szCs w:val="28"/>
        </w:rPr>
        <w:t xml:space="preserve">ых </w:t>
      </w:r>
      <w:r w:rsidRPr="00586777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 образования "Город Майкоп" не требуется.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5. Ресурсное обеспечение муниципальной программы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B4F3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86777">
        <w:rPr>
          <w:rFonts w:ascii="Times New Roman" w:hAnsi="Times New Roman" w:cs="Times New Roman"/>
          <w:sz w:val="28"/>
          <w:szCs w:val="28"/>
        </w:rPr>
        <w:t xml:space="preserve"> планируется за счет средств бюджета муниципального образования "Город Майкоп".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bookmarkStart w:id="8" w:name="sub_1016"/>
      <w:r w:rsidRPr="00586777">
        <w:rPr>
          <w:rFonts w:ascii="Times New Roman" w:hAnsi="Times New Roman" w:cs="Times New Roman"/>
          <w:sz w:val="28"/>
          <w:szCs w:val="28"/>
        </w:rPr>
        <w:t>Всего на 2018 - 202</w:t>
      </w:r>
      <w:r w:rsidR="008C3F1E" w:rsidRPr="008C3F1E">
        <w:rPr>
          <w:rFonts w:ascii="Times New Roman" w:hAnsi="Times New Roman" w:cs="Times New Roman"/>
          <w:sz w:val="28"/>
          <w:szCs w:val="28"/>
        </w:rPr>
        <w:t>1</w:t>
      </w:r>
      <w:r w:rsidRPr="00586777">
        <w:rPr>
          <w:rFonts w:ascii="Times New Roman" w:hAnsi="Times New Roman" w:cs="Times New Roman"/>
          <w:sz w:val="28"/>
          <w:szCs w:val="28"/>
        </w:rPr>
        <w:t xml:space="preserve"> годы потребуется </w:t>
      </w:r>
      <w:r w:rsidR="0041480A">
        <w:rPr>
          <w:rFonts w:ascii="Times New Roman" w:hAnsi="Times New Roman" w:cs="Times New Roman"/>
          <w:sz w:val="28"/>
          <w:szCs w:val="28"/>
        </w:rPr>
        <w:t>151687,7</w:t>
      </w:r>
      <w:r w:rsidR="007B4F33">
        <w:rPr>
          <w:rFonts w:ascii="Times New Roman" w:hAnsi="Times New Roman" w:cs="Times New Roman"/>
          <w:sz w:val="28"/>
          <w:szCs w:val="28"/>
        </w:rPr>
        <w:t> тыс. рублей</w:t>
      </w:r>
      <w:r w:rsidRPr="00586777">
        <w:rPr>
          <w:rFonts w:ascii="Times New Roman" w:hAnsi="Times New Roman" w:cs="Times New Roman"/>
          <w:sz w:val="28"/>
          <w:szCs w:val="28"/>
        </w:rPr>
        <w:t>,</w:t>
      </w:r>
    </w:p>
    <w:bookmarkEnd w:id="8"/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7B4F33" w:rsidRPr="00586777" w:rsidRDefault="005C7FEE" w:rsidP="007B4F33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7B4F33">
        <w:rPr>
          <w:rFonts w:ascii="Times New Roman" w:hAnsi="Times New Roman" w:cs="Times New Roman"/>
          <w:sz w:val="28"/>
          <w:szCs w:val="28"/>
        </w:rPr>
        <w:t>-</w:t>
      </w:r>
      <w:r w:rsidRPr="00586777">
        <w:rPr>
          <w:rFonts w:ascii="Times New Roman" w:hAnsi="Times New Roman" w:cs="Times New Roman"/>
          <w:sz w:val="28"/>
          <w:szCs w:val="28"/>
        </w:rPr>
        <w:t xml:space="preserve"> </w:t>
      </w:r>
      <w:r w:rsidR="009F7473" w:rsidRPr="009F7473">
        <w:rPr>
          <w:rFonts w:ascii="Times New Roman" w:hAnsi="Times New Roman" w:cs="Times New Roman"/>
          <w:sz w:val="28"/>
          <w:szCs w:val="28"/>
        </w:rPr>
        <w:t>32099,7</w:t>
      </w:r>
      <w:r w:rsidRPr="00586777">
        <w:rPr>
          <w:rFonts w:ascii="Times New Roman" w:hAnsi="Times New Roman" w:cs="Times New Roman"/>
          <w:sz w:val="28"/>
          <w:szCs w:val="28"/>
        </w:rPr>
        <w:t> тыс. </w:t>
      </w:r>
      <w:r w:rsidR="007B4F33">
        <w:rPr>
          <w:rFonts w:ascii="Times New Roman" w:hAnsi="Times New Roman" w:cs="Times New Roman"/>
          <w:sz w:val="28"/>
          <w:szCs w:val="28"/>
        </w:rPr>
        <w:t>рублей</w:t>
      </w:r>
      <w:r w:rsidR="007B4F33" w:rsidRPr="00586777">
        <w:rPr>
          <w:rFonts w:ascii="Times New Roman" w:hAnsi="Times New Roman" w:cs="Times New Roman"/>
          <w:sz w:val="28"/>
          <w:szCs w:val="28"/>
        </w:rPr>
        <w:t>,</w:t>
      </w:r>
    </w:p>
    <w:p w:rsidR="007B4F33" w:rsidRPr="00586777" w:rsidRDefault="005C7FEE" w:rsidP="007B4F33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41480A">
        <w:rPr>
          <w:rFonts w:ascii="Times New Roman" w:hAnsi="Times New Roman" w:cs="Times New Roman"/>
          <w:sz w:val="28"/>
          <w:szCs w:val="28"/>
        </w:rPr>
        <w:t>–</w:t>
      </w:r>
      <w:r w:rsidRPr="00586777">
        <w:rPr>
          <w:rFonts w:ascii="Times New Roman" w:hAnsi="Times New Roman" w:cs="Times New Roman"/>
          <w:sz w:val="28"/>
          <w:szCs w:val="28"/>
        </w:rPr>
        <w:t xml:space="preserve"> </w:t>
      </w:r>
      <w:r w:rsidR="0041480A">
        <w:rPr>
          <w:rFonts w:ascii="Times New Roman" w:hAnsi="Times New Roman" w:cs="Times New Roman"/>
          <w:sz w:val="28"/>
          <w:szCs w:val="28"/>
        </w:rPr>
        <w:t>39810,8</w:t>
      </w:r>
      <w:r w:rsidRPr="00586777">
        <w:rPr>
          <w:rFonts w:ascii="Times New Roman" w:hAnsi="Times New Roman" w:cs="Times New Roman"/>
          <w:sz w:val="28"/>
          <w:szCs w:val="28"/>
        </w:rPr>
        <w:t> тыс. </w:t>
      </w:r>
      <w:r w:rsidR="007B4F33">
        <w:rPr>
          <w:rFonts w:ascii="Times New Roman" w:hAnsi="Times New Roman" w:cs="Times New Roman"/>
          <w:sz w:val="28"/>
          <w:szCs w:val="28"/>
        </w:rPr>
        <w:t>рублей</w:t>
      </w:r>
      <w:r w:rsidR="007B4F33" w:rsidRPr="00586777">
        <w:rPr>
          <w:rFonts w:ascii="Times New Roman" w:hAnsi="Times New Roman" w:cs="Times New Roman"/>
          <w:sz w:val="28"/>
          <w:szCs w:val="28"/>
        </w:rPr>
        <w:t>,</w:t>
      </w:r>
    </w:p>
    <w:p w:rsidR="007B4F33" w:rsidRPr="00586777" w:rsidRDefault="005C7FEE" w:rsidP="007B4F33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41480A">
        <w:rPr>
          <w:rFonts w:ascii="Times New Roman" w:hAnsi="Times New Roman" w:cs="Times New Roman"/>
          <w:sz w:val="28"/>
          <w:szCs w:val="28"/>
        </w:rPr>
        <w:t>–</w:t>
      </w:r>
      <w:r w:rsidRPr="00586777">
        <w:rPr>
          <w:rFonts w:ascii="Times New Roman" w:hAnsi="Times New Roman" w:cs="Times New Roman"/>
          <w:sz w:val="28"/>
          <w:szCs w:val="28"/>
        </w:rPr>
        <w:t xml:space="preserve"> </w:t>
      </w:r>
      <w:r w:rsidR="0041480A">
        <w:rPr>
          <w:rFonts w:ascii="Times New Roman" w:hAnsi="Times New Roman" w:cs="Times New Roman"/>
          <w:sz w:val="28"/>
          <w:szCs w:val="28"/>
        </w:rPr>
        <w:t>39335,1</w:t>
      </w:r>
      <w:r w:rsidRPr="00586777">
        <w:rPr>
          <w:rFonts w:ascii="Times New Roman" w:hAnsi="Times New Roman" w:cs="Times New Roman"/>
          <w:sz w:val="28"/>
          <w:szCs w:val="28"/>
        </w:rPr>
        <w:t> тыс. </w:t>
      </w:r>
      <w:r w:rsidR="007B4F33">
        <w:rPr>
          <w:rFonts w:ascii="Times New Roman" w:hAnsi="Times New Roman" w:cs="Times New Roman"/>
          <w:sz w:val="28"/>
          <w:szCs w:val="28"/>
        </w:rPr>
        <w:t>рублей</w:t>
      </w:r>
      <w:r w:rsidR="007B4F33" w:rsidRPr="00586777">
        <w:rPr>
          <w:rFonts w:ascii="Times New Roman" w:hAnsi="Times New Roman" w:cs="Times New Roman"/>
          <w:sz w:val="28"/>
          <w:szCs w:val="28"/>
        </w:rPr>
        <w:t>,</w:t>
      </w:r>
    </w:p>
    <w:p w:rsidR="007B4F33" w:rsidRPr="00586777" w:rsidRDefault="008C3F1E" w:rsidP="007B4F33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- 202</w:t>
      </w:r>
      <w:r w:rsidRPr="008C3F1E">
        <w:rPr>
          <w:rFonts w:ascii="Times New Roman" w:hAnsi="Times New Roman" w:cs="Times New Roman"/>
          <w:sz w:val="28"/>
          <w:szCs w:val="28"/>
        </w:rPr>
        <w:t>1</w:t>
      </w:r>
      <w:r w:rsidRPr="00586777">
        <w:rPr>
          <w:rFonts w:ascii="Times New Roman" w:hAnsi="Times New Roman" w:cs="Times New Roman"/>
          <w:sz w:val="28"/>
          <w:szCs w:val="28"/>
        </w:rPr>
        <w:t xml:space="preserve"> год </w:t>
      </w:r>
      <w:r w:rsidR="0041480A">
        <w:rPr>
          <w:rFonts w:ascii="Times New Roman" w:hAnsi="Times New Roman" w:cs="Times New Roman"/>
          <w:sz w:val="28"/>
          <w:szCs w:val="28"/>
        </w:rPr>
        <w:t>–</w:t>
      </w:r>
      <w:r w:rsidRPr="00586777">
        <w:rPr>
          <w:rFonts w:ascii="Times New Roman" w:hAnsi="Times New Roman" w:cs="Times New Roman"/>
          <w:sz w:val="28"/>
          <w:szCs w:val="28"/>
        </w:rPr>
        <w:t xml:space="preserve"> </w:t>
      </w:r>
      <w:r w:rsidR="0041480A">
        <w:rPr>
          <w:rFonts w:ascii="Times New Roman" w:hAnsi="Times New Roman" w:cs="Times New Roman"/>
          <w:sz w:val="28"/>
          <w:szCs w:val="28"/>
        </w:rPr>
        <w:t>40442,1</w:t>
      </w:r>
      <w:r w:rsidRPr="00586777">
        <w:rPr>
          <w:rFonts w:ascii="Times New Roman" w:hAnsi="Times New Roman" w:cs="Times New Roman"/>
          <w:sz w:val="28"/>
          <w:szCs w:val="28"/>
        </w:rPr>
        <w:t> тыс. </w:t>
      </w:r>
      <w:r w:rsidR="007B4F33">
        <w:rPr>
          <w:rFonts w:ascii="Times New Roman" w:hAnsi="Times New Roman" w:cs="Times New Roman"/>
          <w:sz w:val="28"/>
          <w:szCs w:val="28"/>
        </w:rPr>
        <w:t>рублей.</w:t>
      </w:r>
    </w:p>
    <w:p w:rsidR="008C3F1E" w:rsidRPr="00586777" w:rsidRDefault="008C3F1E" w:rsidP="008C3F1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.</w:t>
      </w:r>
    </w:p>
    <w:p w:rsidR="00943160" w:rsidRDefault="0094316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943160" w:rsidSect="00086686"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  <w:bookmarkStart w:id="9" w:name="sub_1009"/>
    </w:p>
    <w:p w:rsidR="0020304A" w:rsidRPr="00586777" w:rsidRDefault="005C7FE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86777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03BC3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t> 3</w:t>
      </w:r>
    </w:p>
    <w:bookmarkEnd w:id="9"/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tbl>
      <w:tblPr>
        <w:tblW w:w="5177" w:type="pct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71"/>
        <w:gridCol w:w="1439"/>
        <w:gridCol w:w="9"/>
        <w:gridCol w:w="445"/>
        <w:gridCol w:w="343"/>
        <w:gridCol w:w="461"/>
        <w:gridCol w:w="437"/>
        <w:gridCol w:w="449"/>
        <w:gridCol w:w="492"/>
        <w:gridCol w:w="454"/>
        <w:gridCol w:w="440"/>
        <w:gridCol w:w="499"/>
        <w:gridCol w:w="394"/>
        <w:gridCol w:w="501"/>
        <w:gridCol w:w="539"/>
        <w:gridCol w:w="450"/>
        <w:gridCol w:w="454"/>
        <w:gridCol w:w="455"/>
        <w:gridCol w:w="450"/>
        <w:gridCol w:w="454"/>
        <w:gridCol w:w="454"/>
        <w:gridCol w:w="519"/>
        <w:gridCol w:w="537"/>
        <w:gridCol w:w="537"/>
        <w:gridCol w:w="537"/>
        <w:gridCol w:w="537"/>
        <w:gridCol w:w="537"/>
        <w:gridCol w:w="537"/>
      </w:tblGrid>
      <w:tr w:rsidR="00A62336" w:rsidRPr="00A62336" w:rsidTr="004E781D">
        <w:trPr>
          <w:trHeight w:val="1123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336" w:rsidRPr="00A62336" w:rsidRDefault="00A62336" w:rsidP="004E781D">
            <w:pPr>
              <w:spacing w:line="276" w:lineRule="auto"/>
              <w:ind w:right="-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left="-108" w:right="-133" w:firstLine="101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основного</w:t>
            </w:r>
          </w:p>
          <w:p w:rsidR="00A62336" w:rsidRPr="00A62336" w:rsidRDefault="00A62336" w:rsidP="00A62336">
            <w:pPr>
              <w:spacing w:line="276" w:lineRule="auto"/>
              <w:ind w:left="-108" w:right="-133" w:hanging="41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(направления</w:t>
            </w:r>
            <w:proofErr w:type="gramEnd"/>
          </w:p>
          <w:p w:rsidR="00A62336" w:rsidRPr="00A62336" w:rsidRDefault="00A62336" w:rsidP="00A62336">
            <w:pPr>
              <w:spacing w:line="276" w:lineRule="auto"/>
              <w:ind w:left="-108" w:right="-133" w:hanging="41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расходов)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right="-117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</w:t>
            </w:r>
            <w:r w:rsidR="004E781D"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исполнитель соисполнитель (участник)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hanging="9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Всего за весь период реализации программы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hanging="9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hanging="9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hanging="9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36" w:rsidRPr="00A62336" w:rsidRDefault="00A62336" w:rsidP="004E781D">
            <w:pPr>
              <w:spacing w:line="276" w:lineRule="auto"/>
              <w:ind w:hanging="9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336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4E781D" w:rsidRPr="00A62336" w:rsidTr="004E781D">
        <w:trPr>
          <w:cantSplit/>
          <w:trHeight w:val="113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A6233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A62336">
            <w:pPr>
              <w:ind w:hanging="41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A6233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ВИ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ВИ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ВИ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ВИ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81D">
              <w:rPr>
                <w:rFonts w:ascii="Times New Roman" w:hAnsi="Times New Roman" w:cs="Times New Roman"/>
                <w:b/>
                <w:bCs/>
                <w:color w:val="000000"/>
              </w:rPr>
              <w:t>ВИ</w:t>
            </w:r>
          </w:p>
        </w:tc>
      </w:tr>
      <w:tr w:rsidR="00A62336" w:rsidRPr="00A62336" w:rsidTr="004E781D">
        <w:trPr>
          <w:trHeight w:val="302"/>
          <w:jc w:val="center"/>
        </w:trPr>
        <w:tc>
          <w:tcPr>
            <w:tcW w:w="156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7B4F33" w:rsidRDefault="00A62336" w:rsidP="007B4F33">
            <w:pPr>
              <w:spacing w:line="276" w:lineRule="auto"/>
              <w:ind w:hanging="41"/>
              <w:jc w:val="center"/>
              <w:rPr>
                <w:rFonts w:ascii="Times New Roman" w:hAnsi="Times New Roman" w:cs="Times New Roman"/>
                <w:b/>
              </w:rPr>
            </w:pPr>
            <w:r w:rsidRPr="007B4F33">
              <w:rPr>
                <w:rFonts w:ascii="Times New Roman" w:hAnsi="Times New Roman" w:cs="Times New Roman"/>
                <w:b/>
              </w:rPr>
              <w:t>«Обеспечение деятельности и реализации полномочий  Комитета по управлению имуществом муниципального образования «Город Майкоп» на 2018-202</w:t>
            </w:r>
            <w:r w:rsidR="007B4F33" w:rsidRPr="007B4F33">
              <w:rPr>
                <w:rFonts w:ascii="Times New Roman" w:hAnsi="Times New Roman" w:cs="Times New Roman"/>
                <w:b/>
              </w:rPr>
              <w:t>1</w:t>
            </w:r>
            <w:r w:rsidRPr="007B4F33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4E781D" w:rsidRPr="00A62336" w:rsidTr="004E781D">
        <w:trPr>
          <w:cantSplit/>
          <w:trHeight w:val="170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336" w:rsidRPr="00A62336" w:rsidRDefault="00A62336" w:rsidP="00A62336">
            <w:pPr>
              <w:spacing w:line="276" w:lineRule="auto"/>
              <w:ind w:left="-135" w:right="-7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08" w:right="8" w:firstLine="101"/>
              <w:jc w:val="left"/>
              <w:rPr>
                <w:rFonts w:ascii="Times New Roman" w:hAnsi="Times New Roman" w:cs="Times New Roman"/>
                <w:bCs/>
              </w:rPr>
            </w:pPr>
            <w:r w:rsidRPr="00A62336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36" w:rsidRPr="00A62336" w:rsidRDefault="00A62336" w:rsidP="00A62336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151687,7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0" w:name="_GoBack"/>
            <w:bookmarkEnd w:id="10"/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151687,7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32099,7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32099,7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39810,8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39810,8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39335,1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39335,1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40442,1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40442,1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4E781D">
            <w:pPr>
              <w:spacing w:line="276" w:lineRule="auto"/>
              <w:ind w:left="-108" w:right="-133" w:firstLine="10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877EC6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113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lastRenderedPageBreak/>
              <w:t>1.1.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left="-59" w:right="-133"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A62336" w:rsidRPr="00A62336" w:rsidRDefault="00A62336" w:rsidP="00A62336">
            <w:pPr>
              <w:spacing w:line="276" w:lineRule="auto"/>
              <w:ind w:left="-59" w:right="8" w:hanging="4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</w:rPr>
              <w:t>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right="-6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877EC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6831,7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6831,7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6831,7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6831,7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left="-59" w:right="-133"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«Совершенствование системы учета и содержания</w:t>
            </w:r>
          </w:p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33010,7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33010,7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8512,1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8512,1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8046,6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8046,6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8191,0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A62336">
              <w:rPr>
                <w:rFonts w:ascii="Times New Roman" w:hAnsi="Times New Roman" w:cs="Times New Roman"/>
              </w:rPr>
              <w:t>Содержание объектов казны муниципального образования        «Город Майкоп»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33010,7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877EC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33010,7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8512,1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8512,1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8046,6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8046,6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8191,0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8191,0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8261,0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8261,0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left="-59" w:right="-133"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 xml:space="preserve">«Эффективное управление, распоряжение и рациональное использование </w:t>
            </w:r>
            <w:r w:rsidRPr="00A62336">
              <w:rPr>
                <w:rFonts w:ascii="Times New Roman" w:hAnsi="Times New Roman" w:cs="Times New Roman"/>
              </w:rPr>
              <w:t>земельных участков, находящихся в собственности муниципального образования «Город Майкоп», а также земельных участков, государственная собственность на которые не разграничена</w:t>
            </w:r>
          </w:p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>в г. Майкопе»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877EC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lastRenderedPageBreak/>
              <w:t>3.1.1.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</w:rPr>
              <w:t>Формирование земельных участков, проведение независимой оценки  земельных участков и оценке права аренды земельных участков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41480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2336"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3.1.2.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</w:rPr>
              <w:t>Материальное обеспечение работ по формированию земельных участков, проведению независимой оценки земельных участков и оценки права аренды земельных участков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left="-59" w:right="-133"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>Основное мероприятие 4:</w:t>
            </w:r>
          </w:p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</w:rPr>
              <w:t xml:space="preserve">«Организация качественного и эффективного исполнения полномочий Комитета по управлению имуществом </w:t>
            </w:r>
            <w:r w:rsidRPr="00A62336">
              <w:rPr>
                <w:rFonts w:ascii="Times New Roman" w:hAnsi="Times New Roman" w:cs="Times New Roman"/>
                <w:bCs/>
              </w:rPr>
              <w:t>муниципального образования «Город Майкоп»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108679,3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108679,3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22207,9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22207,9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28408,2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41480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4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8408,2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28513,1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28513,1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29550,1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41480A" w:rsidP="0041480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29550,1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781D" w:rsidRPr="00A62336" w:rsidTr="004E781D">
        <w:trPr>
          <w:cantSplit/>
          <w:trHeight w:val="114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135" w:right="-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4.1.1.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36" w:rsidRPr="00A62336" w:rsidRDefault="00A62336" w:rsidP="00A62336">
            <w:pPr>
              <w:spacing w:line="276" w:lineRule="auto"/>
              <w:ind w:hanging="41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336" w:rsidRPr="00A62336" w:rsidRDefault="00A62336" w:rsidP="004E781D">
            <w:pPr>
              <w:spacing w:line="276" w:lineRule="auto"/>
              <w:ind w:left="-77" w:firstLine="0"/>
              <w:jc w:val="left"/>
              <w:rPr>
                <w:rFonts w:ascii="Times New Roman" w:hAnsi="Times New Roman" w:cs="Times New Roman"/>
              </w:rPr>
            </w:pPr>
            <w:r w:rsidRPr="00A62336">
              <w:rPr>
                <w:rFonts w:ascii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108679,3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108679,3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22207,9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22207,9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41480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28408,2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28408,2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28513,1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28513,1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41480A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29550,1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41480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4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9550,1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336" w:rsidRPr="004E781D" w:rsidRDefault="00A62336" w:rsidP="007B4F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E781D" w:rsidRPr="00586777" w:rsidRDefault="004E781D" w:rsidP="004E781D">
      <w:pPr>
        <w:rPr>
          <w:rFonts w:ascii="Times New Roman" w:hAnsi="Times New Roman" w:cs="Times New Roman"/>
          <w:sz w:val="28"/>
          <w:szCs w:val="28"/>
        </w:rPr>
      </w:pPr>
      <w:bookmarkStart w:id="11" w:name="sub_1017"/>
      <w:r w:rsidRPr="00586777">
        <w:rPr>
          <w:rFonts w:ascii="Times New Roman" w:hAnsi="Times New Roman" w:cs="Times New Roman"/>
          <w:sz w:val="28"/>
          <w:szCs w:val="28"/>
        </w:rPr>
        <w:t xml:space="preserve">* Объемы финансирования </w:t>
      </w:r>
      <w:r w:rsidR="007B4F33">
        <w:rPr>
          <w:rFonts w:ascii="Times New Roman" w:hAnsi="Times New Roman" w:cs="Times New Roman"/>
          <w:sz w:val="28"/>
          <w:szCs w:val="28"/>
        </w:rPr>
        <w:t>П</w:t>
      </w:r>
      <w:r w:rsidRPr="00586777">
        <w:rPr>
          <w:rFonts w:ascii="Times New Roman" w:hAnsi="Times New Roman" w:cs="Times New Roman"/>
          <w:sz w:val="28"/>
          <w:szCs w:val="28"/>
        </w:rPr>
        <w:t>рограммы носят прогнозный характер и подлежат ежегодному уточнению в установленном порядке при формировании бюджета на соответствующий финансовый год, с учетом возможностей бюджета муниципального образования "Город Майкоп", а также с учетом инфляции, изменений в ходе реализации мероприятий программы.</w:t>
      </w:r>
    </w:p>
    <w:bookmarkEnd w:id="11"/>
    <w:p w:rsidR="00A62336" w:rsidRPr="00A62336" w:rsidRDefault="00A62336" w:rsidP="00A62336">
      <w:pPr>
        <w:rPr>
          <w:rFonts w:ascii="Times New Roman" w:hAnsi="Times New Roman" w:cs="Times New Roman"/>
        </w:rPr>
      </w:pPr>
    </w:p>
    <w:p w:rsidR="0020304A" w:rsidRPr="00586777" w:rsidRDefault="0020304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0304A" w:rsidRPr="00586777" w:rsidSect="008F21B3">
          <w:pgSz w:w="16837" w:h="11905" w:orient="landscape"/>
          <w:pgMar w:top="1276" w:right="799" w:bottom="1440" w:left="1100" w:header="720" w:footer="720" w:gutter="0"/>
          <w:cols w:space="720"/>
          <w:noEndnote/>
          <w:docGrid w:linePitch="326"/>
        </w:sect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lastRenderedPageBreak/>
        <w:t>6. Перечень контрольных событий</w:t>
      </w:r>
    </w:p>
    <w:p w:rsidR="0020304A" w:rsidRPr="00586777" w:rsidRDefault="005C7FE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011"/>
      <w:r w:rsidRPr="00586777">
        <w:rPr>
          <w:rStyle w:val="a3"/>
          <w:rFonts w:ascii="Times New Roman" w:hAnsi="Times New Roman" w:cs="Times New Roman"/>
          <w:sz w:val="28"/>
          <w:szCs w:val="28"/>
        </w:rPr>
        <w:t xml:space="preserve">Таблица </w:t>
      </w:r>
      <w:r w:rsidR="00403BC3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586777">
        <w:rPr>
          <w:rStyle w:val="a3"/>
          <w:rFonts w:ascii="Times New Roman" w:hAnsi="Times New Roman" w:cs="Times New Roman"/>
          <w:sz w:val="28"/>
          <w:szCs w:val="28"/>
        </w:rPr>
        <w:t> 4</w:t>
      </w:r>
    </w:p>
    <w:bookmarkEnd w:id="12"/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="007B4F33">
        <w:rPr>
          <w:rFonts w:ascii="Times New Roman" w:hAnsi="Times New Roman" w:cs="Times New Roman"/>
          <w:sz w:val="28"/>
          <w:szCs w:val="28"/>
        </w:rPr>
        <w:t>П</w:t>
      </w:r>
      <w:r w:rsidRPr="00586777">
        <w:rPr>
          <w:rFonts w:ascii="Times New Roman" w:hAnsi="Times New Roman" w:cs="Times New Roman"/>
          <w:sz w:val="28"/>
          <w:szCs w:val="28"/>
        </w:rPr>
        <w:t>рограммы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397"/>
        <w:gridCol w:w="1511"/>
        <w:gridCol w:w="1163"/>
        <w:gridCol w:w="1291"/>
        <w:gridCol w:w="1163"/>
        <w:gridCol w:w="1163"/>
      </w:tblGrid>
      <w:tr w:rsidR="00FB6074" w:rsidRPr="005C7FEE" w:rsidTr="00FB6074">
        <w:trPr>
          <w:trHeight w:val="145"/>
        </w:trPr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3" w:rsidRDefault="00403BC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Реализация контрольных событий (в количественном выражении)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B6074" w:rsidRPr="005C7FEE" w:rsidTr="00FB6074">
        <w:trPr>
          <w:trHeight w:val="145"/>
        </w:trPr>
        <w:tc>
          <w:tcPr>
            <w:tcW w:w="9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6074" w:rsidRPr="005C7FEE" w:rsidRDefault="00FB6074" w:rsidP="007B4F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реализации полномочий Комитета по управлению имуществом муниципального образования "Город Майкоп" на 2018 - 202</w:t>
            </w:r>
            <w:r w:rsidR="007B4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управление, распоряжение имуществом, находящимся в муниципальной собственности муниципального образования "Город Майкоп"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Проведение оценки рыночной стоимости муниципального имущества и оценки права аренды муниципального имущества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технической документации на объекты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и содержания объектов собственности муниципального образования "Город Майкоп"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казны муниципального образования "Город Майкоп"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объектов казны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участков, находящихся в собственности муниципального образования "Город Майкоп", а также земельных участков государственная собственность, на которые не разграничена в г. Майкопе"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участков, проведение независимой оценки земельных участков и оценке права аренды земельных участков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подлежащих государственной регистрации права собственности муниципального образования "Город 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Майкоп"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lastRenderedPageBreak/>
              <w:t>3.1.1.2.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находящихся в собственности муниципального образования "Город Майкоп", а также земельных участков государственная собственность на которые не разграничена в г. Майкопе, предоставленных в аренду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3.1.1.3.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находящихся в собственности муниципального образования "Город Майкоп", а также земельных участков государственная собственность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в городе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 Майкопе, предоставленных в собственность, постоянное (бессрочное) пользование, безвозмездное пользование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bookmarkStart w:id="13" w:name="sub_1018"/>
            <w:r w:rsidRPr="00FB6074">
              <w:rPr>
                <w:rFonts w:ascii="Times New Roman" w:hAnsi="Times New Roman" w:cs="Times New Roman"/>
              </w:rPr>
              <w:t>3.1.2.</w:t>
            </w:r>
            <w:bookmarkEnd w:id="13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Материальное обеспечение работ по формированию земельных участков, проведению независимой оценки земельных участков и оценки права аренды земельных участков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16D5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5" w:rsidRPr="00FB6074" w:rsidRDefault="001216D5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5" w:rsidRPr="005C7FEE" w:rsidRDefault="001216D5" w:rsidP="001216D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 xml:space="preserve">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последующего их предоставления через торги 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5" w:rsidRPr="00FB6074" w:rsidRDefault="001216D5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5" w:rsidRPr="005C7FEE" w:rsidRDefault="001216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5" w:rsidRPr="005C7FEE" w:rsidRDefault="001216D5" w:rsidP="001216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D5" w:rsidRPr="001216D5" w:rsidRDefault="001216D5" w:rsidP="00121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6D5" w:rsidRPr="001216D5" w:rsidRDefault="001216D5" w:rsidP="00121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bookmarkStart w:id="14" w:name="sub_1019"/>
            <w:r w:rsidRPr="00FB6074">
              <w:rPr>
                <w:rFonts w:ascii="Times New Roman" w:hAnsi="Times New Roman" w:cs="Times New Roman"/>
              </w:rPr>
              <w:lastRenderedPageBreak/>
              <w:t>4.1.</w:t>
            </w:r>
            <w:bookmarkEnd w:id="14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и эффективного исполнения полномочий Комитета по управлению имуществом муниципального образования "Город Майкоп"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bookmarkStart w:id="15" w:name="sub_1020"/>
            <w:r w:rsidRPr="00FB6074">
              <w:rPr>
                <w:rFonts w:ascii="Times New Roman" w:hAnsi="Times New Roman" w:cs="Times New Roman"/>
              </w:rPr>
              <w:t>4.1.1.</w:t>
            </w:r>
            <w:bookmarkEnd w:id="15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4.1.1.1.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обоснованных жалоб на деятельность сотрудников Комитета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4.1.1.2.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социального найма, найма специализированных жилых помещений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 w:rsidP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4.1.1.3.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направленных арендаторам земельных участков и недвижимого имущества о необходимости погашения долга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1 300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заявлений, направленных в суды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B6074" w:rsidRPr="005C7FEE" w:rsidTr="00FB6074">
        <w:trPr>
          <w:trHeight w:val="14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 w:rsidP="00FB6074">
            <w:pPr>
              <w:pStyle w:val="aa"/>
              <w:ind w:right="-116"/>
              <w:jc w:val="center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4.1.1.5.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исполнительных листов в службу судебных приставов (шт.)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FB6074" w:rsidRDefault="00FB6074">
            <w:pPr>
              <w:pStyle w:val="ac"/>
              <w:rPr>
                <w:rFonts w:ascii="Times New Roman" w:hAnsi="Times New Roman" w:cs="Times New Roman"/>
              </w:rPr>
            </w:pPr>
            <w:r w:rsidRPr="00FB607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74" w:rsidRPr="005C7FEE" w:rsidRDefault="00FB6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1012"/>
      <w:r w:rsidRPr="00586777">
        <w:rPr>
          <w:rFonts w:ascii="Times New Roman" w:hAnsi="Times New Roman" w:cs="Times New Roman"/>
          <w:sz w:val="28"/>
          <w:szCs w:val="28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16"/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внешние риски, а именно: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lastRenderedPageBreak/>
        <w:t>- финансирование Программы не в полном объеме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низкая активность покупателей объектов муниципального имущества может привести к тому, что часть оцененных объектов не будет приватизирована;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заключение муниципального контракта с организацией, которая окажется неспособной исполнить обязательства по контракту;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изменение динамики предъявления организациями, осуществляющими управление многоквартирными домами, исковых требований к муниципальному образованию "Город Майкоп" о взыскании стоимости оказанных услуг по содержанию общего долевого имущества и коммунальных услуг в части, приходящейся на нежилые помещения, учитываемые в муниципальной казне.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Внутренние риски напрямую зависят от деятельности Комитета по управлению имуществом и могут быть предотвращены путем проведения мероприятий по повышению квалификации специалистов.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777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управления реализацией Программы;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- ежегодная корректировка программных мероприятий и количественных показателей основных целевых индикаторов Программы в зависимости от достигнутых результатов;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 xml:space="preserve">- принятие мер по эффективному использованию финансовых ресурсов и </w:t>
      </w:r>
      <w:proofErr w:type="gramStart"/>
      <w:r w:rsidRPr="005867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86777">
        <w:rPr>
          <w:rFonts w:ascii="Times New Roman" w:hAnsi="Times New Roman" w:cs="Times New Roman"/>
          <w:sz w:val="28"/>
          <w:szCs w:val="28"/>
        </w:rPr>
        <w:t xml:space="preserve"> их целевым использованием.</w:t>
      </w: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Планирование мероприятий Программы и объемов финансирования приведет к минимуму финансовых, организационных и иных рисков, возникающих при реализации Комитетом по управлению имуществом своих функций (услуг) в сфере имущественных отношений.</w:t>
      </w:r>
    </w:p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013"/>
      <w:r w:rsidRPr="00586777">
        <w:rPr>
          <w:rFonts w:ascii="Times New Roman" w:hAnsi="Times New Roman" w:cs="Times New Roman"/>
          <w:sz w:val="28"/>
          <w:szCs w:val="28"/>
        </w:rPr>
        <w:t>8. Сведения об участии Администрации муниципального образования "Город Майкоп" в реализации государственных программ</w:t>
      </w:r>
    </w:p>
    <w:bookmarkEnd w:id="17"/>
    <w:p w:rsidR="0020304A" w:rsidRPr="00586777" w:rsidRDefault="0020304A">
      <w:pPr>
        <w:rPr>
          <w:rFonts w:ascii="Times New Roman" w:hAnsi="Times New Roman" w:cs="Times New Roman"/>
          <w:sz w:val="28"/>
          <w:szCs w:val="28"/>
        </w:rPr>
      </w:pPr>
    </w:p>
    <w:p w:rsidR="0020304A" w:rsidRPr="00586777" w:rsidRDefault="005C7FEE">
      <w:pPr>
        <w:rPr>
          <w:rFonts w:ascii="Times New Roman" w:hAnsi="Times New Roman" w:cs="Times New Roman"/>
          <w:sz w:val="28"/>
          <w:szCs w:val="28"/>
        </w:rPr>
      </w:pPr>
      <w:r w:rsidRPr="00586777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и республиканского бюджета Республики Адыгея на реализацию целей и задач муниципальной программы "Обеспечение деятельности и реализации полномочий Комитета по управлению имуществом Администрации муниципального образования "Город Майкоп" на 2018 - 202</w:t>
      </w:r>
      <w:r w:rsidR="00FB6074">
        <w:rPr>
          <w:rFonts w:ascii="Times New Roman" w:hAnsi="Times New Roman" w:cs="Times New Roman"/>
          <w:sz w:val="28"/>
          <w:szCs w:val="28"/>
        </w:rPr>
        <w:t>1</w:t>
      </w:r>
      <w:r w:rsidRPr="00586777">
        <w:rPr>
          <w:rFonts w:ascii="Times New Roman" w:hAnsi="Times New Roman" w:cs="Times New Roman"/>
          <w:sz w:val="28"/>
          <w:szCs w:val="28"/>
        </w:rPr>
        <w:t> годы", на момент утверждения, не предусматривается действующими федеральными и республиканскими нормативн</w:t>
      </w:r>
      <w:r w:rsidR="008F6CDA">
        <w:rPr>
          <w:rFonts w:ascii="Times New Roman" w:hAnsi="Times New Roman" w:cs="Times New Roman"/>
          <w:sz w:val="28"/>
          <w:szCs w:val="28"/>
        </w:rPr>
        <w:t xml:space="preserve">ыми </w:t>
      </w:r>
      <w:r w:rsidRPr="00586777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5C7FEE" w:rsidRPr="00586777" w:rsidRDefault="005C7FEE">
      <w:pPr>
        <w:rPr>
          <w:rFonts w:ascii="Times New Roman" w:hAnsi="Times New Roman" w:cs="Times New Roman"/>
        </w:rPr>
      </w:pPr>
    </w:p>
    <w:sectPr w:rsidR="005C7FEE" w:rsidRPr="00586777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0A" w:rsidRDefault="0041480A" w:rsidP="00086686">
      <w:r>
        <w:separator/>
      </w:r>
    </w:p>
  </w:endnote>
  <w:endnote w:type="continuationSeparator" w:id="0">
    <w:p w:rsidR="0041480A" w:rsidRDefault="0041480A" w:rsidP="0008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0A" w:rsidRDefault="0041480A" w:rsidP="00086686">
      <w:r>
        <w:separator/>
      </w:r>
    </w:p>
  </w:footnote>
  <w:footnote w:type="continuationSeparator" w:id="0">
    <w:p w:rsidR="0041480A" w:rsidRDefault="0041480A" w:rsidP="0008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777"/>
    <w:rsid w:val="00086686"/>
    <w:rsid w:val="001216D5"/>
    <w:rsid w:val="0014630C"/>
    <w:rsid w:val="0020304A"/>
    <w:rsid w:val="002E216E"/>
    <w:rsid w:val="003E34E1"/>
    <w:rsid w:val="00403BC3"/>
    <w:rsid w:val="0041480A"/>
    <w:rsid w:val="00491056"/>
    <w:rsid w:val="004E781D"/>
    <w:rsid w:val="004F7BBB"/>
    <w:rsid w:val="005854E2"/>
    <w:rsid w:val="00586777"/>
    <w:rsid w:val="005C7FEE"/>
    <w:rsid w:val="007B4F33"/>
    <w:rsid w:val="007F01B1"/>
    <w:rsid w:val="00806E06"/>
    <w:rsid w:val="00877EC6"/>
    <w:rsid w:val="00881045"/>
    <w:rsid w:val="008B564A"/>
    <w:rsid w:val="008C3F1E"/>
    <w:rsid w:val="008F21B3"/>
    <w:rsid w:val="008F6CDA"/>
    <w:rsid w:val="00943160"/>
    <w:rsid w:val="009F7473"/>
    <w:rsid w:val="00A62336"/>
    <w:rsid w:val="00AD7E8D"/>
    <w:rsid w:val="00B1669F"/>
    <w:rsid w:val="00C1246D"/>
    <w:rsid w:val="00D80DFB"/>
    <w:rsid w:val="00DB19FA"/>
    <w:rsid w:val="00E94276"/>
    <w:rsid w:val="00F8018E"/>
    <w:rsid w:val="00FB6074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0866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86686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866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86686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E78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E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0005719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6161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509.0" TargetMode="External"/><Relationship Id="rId24" Type="http://schemas.openxmlformats.org/officeDocument/2006/relationships/hyperlink" Target="garantF1://322565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garantF1://12073365.0" TargetMode="Externa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55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01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120289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25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20</cp:revision>
  <cp:lastPrinted>2018-08-27T13:54:00Z</cp:lastPrinted>
  <dcterms:created xsi:type="dcterms:W3CDTF">2018-08-07T08:15:00Z</dcterms:created>
  <dcterms:modified xsi:type="dcterms:W3CDTF">2018-09-14T11:43:00Z</dcterms:modified>
</cp:coreProperties>
</file>