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3FCD" w:rsidRDefault="002F3AD5">
      <w:pPr>
        <w:rPr>
          <w:sz w:val="2"/>
          <w:szCs w:val="2"/>
        </w:rPr>
      </w:pPr>
    </w:p>
    <w:p w:rsidR="00C51609" w:rsidRPr="00E55BE1" w:rsidRDefault="002F3A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АдыгэРеспубликэм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муниципальнэобразованиеу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«КъалэуМыекъуапэ»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и Администрацие</w:t>
            </w:r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B37F6" w:rsidRDefault="003B37F6" w:rsidP="003B37F6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F0" w:rsidRDefault="006F59F0" w:rsidP="006F59F0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6F59F0" w:rsidRDefault="006F59F0" w:rsidP="006F59F0">
      <w:pPr>
        <w:rPr>
          <w:sz w:val="20"/>
        </w:rPr>
      </w:pPr>
    </w:p>
    <w:p w:rsidR="006F59F0" w:rsidRDefault="006F59F0" w:rsidP="006F59F0">
      <w:pPr>
        <w:jc w:val="center"/>
      </w:pPr>
      <w:r>
        <w:t xml:space="preserve">от </w:t>
      </w:r>
      <w:r w:rsidR="00BD5C42" w:rsidRPr="00BD5C42">
        <w:rPr>
          <w:i/>
          <w:u w:val="single"/>
        </w:rPr>
        <w:t>12.11.2018   № 1387</w:t>
      </w:r>
    </w:p>
    <w:p w:rsidR="006F59F0" w:rsidRDefault="006F59F0" w:rsidP="006F59F0">
      <w:pPr>
        <w:jc w:val="center"/>
      </w:pPr>
      <w:r>
        <w:t>г. Майкоп</w:t>
      </w:r>
      <w:bookmarkStart w:id="0" w:name="_GoBack"/>
      <w:bookmarkEnd w:id="0"/>
    </w:p>
    <w:p w:rsidR="006F59F0" w:rsidRDefault="006F59F0" w:rsidP="006F59F0"/>
    <w:p w:rsidR="006F59F0" w:rsidRPr="00C50048" w:rsidRDefault="006F59F0" w:rsidP="006F59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«Город Майкоп» от 12.12.2012 № 1082 «Об утверждении </w:t>
      </w:r>
      <w:hyperlink r:id="rId9" w:history="1"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</w:t>
        </w:r>
        <w:r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ого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а Администрации муниципального образования «Город Майкоп» по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предоставлени</w:t>
        </w:r>
        <w:r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ю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муниципальной услуги «Выдача выписки из домовой книги, справки о составе семьи, справки с места жительства</w:t>
        </w:r>
      </w:hyperlink>
      <w:r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6F59F0" w:rsidRDefault="006F59F0" w:rsidP="006F59F0">
      <w:pPr>
        <w:ind w:firstLine="709"/>
        <w:jc w:val="both"/>
        <w:rPr>
          <w:szCs w:val="28"/>
        </w:rPr>
      </w:pPr>
    </w:p>
    <w:p w:rsidR="006F59F0" w:rsidRDefault="006F59F0" w:rsidP="006F59F0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>
        <w:rPr>
          <w:szCs w:val="28"/>
        </w:rPr>
        <w:t xml:space="preserve">приведения в соответствие с действующим законодательством Российской Федерации, </w:t>
      </w:r>
      <w:r>
        <w:t>п о с т а н о в л я ю</w:t>
      </w:r>
      <w:r w:rsidRPr="004467C6">
        <w:rPr>
          <w:szCs w:val="28"/>
        </w:rPr>
        <w:t>:</w:t>
      </w:r>
    </w:p>
    <w:p w:rsidR="006F59F0" w:rsidRDefault="006F59F0" w:rsidP="006F59F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20B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12.12.2012 № 1082 «Об утверждении </w:t>
      </w:r>
      <w:hyperlink r:id="rId10" w:history="1">
        <w:r w:rsidRPr="00B720B3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</w:t>
        </w:r>
        <w:r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ород Майкоп» по предоставлению </w:t>
        </w:r>
        <w:r w:rsidRPr="00B720B3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муниципальной услуги «Выдача выписки из домовой книги, справки о составе семьи, справки с места жительства</w:t>
        </w:r>
      </w:hyperlink>
      <w:r w:rsidRPr="00B720B3">
        <w:rPr>
          <w:rStyle w:val="ab"/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1" w:history="1">
        <w:r w:rsidRPr="002A6E9E">
          <w:rPr>
            <w:rFonts w:ascii="Times New Roman" w:hAnsi="Times New Roman" w:cs="Times New Roman"/>
            <w:sz w:val="28"/>
            <w:szCs w:val="28"/>
          </w:rPr>
          <w:t>по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2A6E9E">
          <w:rPr>
            <w:rFonts w:ascii="Times New Roman" w:hAnsi="Times New Roman" w:cs="Times New Roman"/>
            <w:sz w:val="28"/>
            <w:szCs w:val="28"/>
          </w:rPr>
          <w:t>тановлени</w:t>
        </w:r>
      </w:hyperlink>
      <w:r w:rsidRPr="002A6E9E"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от 26.02.2013 № 113, от </w:t>
      </w:r>
      <w:r w:rsidRPr="002A6E9E">
        <w:rPr>
          <w:rFonts w:ascii="Times New Roman" w:hAnsi="Times New Roman" w:cs="Times New Roman"/>
          <w:sz w:val="28"/>
          <w:szCs w:val="28"/>
        </w:rPr>
        <w:t>09.04.2013 № 255, от 04.10.20</w:t>
      </w:r>
      <w:r>
        <w:rPr>
          <w:rFonts w:ascii="Times New Roman" w:hAnsi="Times New Roman" w:cs="Times New Roman"/>
          <w:sz w:val="28"/>
          <w:szCs w:val="28"/>
        </w:rPr>
        <w:t>13 № 732, от 27.12.2013 № 976, от</w:t>
      </w:r>
      <w:r w:rsidRPr="002A6E9E">
        <w:rPr>
          <w:rFonts w:ascii="Times New Roman" w:hAnsi="Times New Roman" w:cs="Times New Roman"/>
          <w:sz w:val="28"/>
          <w:szCs w:val="28"/>
        </w:rPr>
        <w:t>19.03.2014 № 157, от 03.06.201</w:t>
      </w:r>
      <w:r>
        <w:rPr>
          <w:rFonts w:ascii="Times New Roman" w:hAnsi="Times New Roman" w:cs="Times New Roman"/>
          <w:sz w:val="28"/>
          <w:szCs w:val="28"/>
        </w:rPr>
        <w:t>4 № 390, от 24.09.2014 № 656, от </w:t>
      </w:r>
      <w:r w:rsidRPr="002A6E9E">
        <w:rPr>
          <w:rFonts w:ascii="Times New Roman" w:hAnsi="Times New Roman" w:cs="Times New Roman"/>
          <w:sz w:val="28"/>
          <w:szCs w:val="28"/>
        </w:rPr>
        <w:t>12.11.2014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777,от 17.07.2015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hAnsi="Times New Roman" w:cs="Times New Roman"/>
          <w:sz w:val="28"/>
          <w:szCs w:val="28"/>
        </w:rPr>
        <w:t>№ 466</w:t>
      </w:r>
      <w:r>
        <w:rPr>
          <w:rFonts w:ascii="Times New Roman" w:hAnsi="Times New Roman" w:cs="Times New Roman"/>
          <w:sz w:val="28"/>
          <w:szCs w:val="28"/>
        </w:rPr>
        <w:t>, от 29.06.2016 № 537, от 16.01.2018 № 12, от 27.06.2018 № 781</w:t>
      </w:r>
      <w:r w:rsidRPr="002A6E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59F0" w:rsidRDefault="006F59F0" w:rsidP="006F59F0">
      <w:pPr>
        <w:pStyle w:val="a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В наименовании, по тексту и в приложении словосочетание «Выдача выписки из домовой книги, справки о составе семьи, справки с места жительства» в соответствующих падежах заменить словосочетанием «Выдача справки о составе семьи, справки с места с места жительства» в соответствующих падежах.</w:t>
      </w:r>
    </w:p>
    <w:p w:rsidR="006F59F0" w:rsidRDefault="006F59F0" w:rsidP="006F59F0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6F59F0" w:rsidRDefault="00990EA4" w:rsidP="006F59F0">
      <w:pPr>
        <w:ind w:firstLine="720"/>
        <w:jc w:val="both"/>
      </w:pPr>
      <w:r>
        <w:t>«</w:t>
      </w:r>
      <w:r w:rsidR="006F59F0">
        <w:t>2. Руководителю Управления по работе с территориями Администрации муниципального образования «Город Майкоп» (А.А.Руденко) провести работу по изучению и применению сотрудниками Управления по работе с территориями настоящего Административного регламента.».</w:t>
      </w:r>
    </w:p>
    <w:p w:rsidR="006F59F0" w:rsidRDefault="006F59F0" w:rsidP="006F59F0">
      <w:pPr>
        <w:ind w:firstLine="720"/>
        <w:jc w:val="both"/>
        <w:rPr>
          <w:szCs w:val="28"/>
        </w:rPr>
      </w:pPr>
      <w:r>
        <w:t>1.3. В Административном регламенте Администрации муниципального образования «Город Майкоп» по предоставлению</w:t>
      </w:r>
      <w:r w:rsidRPr="001160C2">
        <w:rPr>
          <w:noProof/>
          <w:szCs w:val="28"/>
        </w:rPr>
        <w:t xml:space="preserve"> </w:t>
      </w:r>
      <w:r w:rsidRPr="001160C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4664801</wp:posOffset>
            </wp:positionH>
            <wp:positionV relativeFrom="margin">
              <wp:posOffset>9365615</wp:posOffset>
            </wp:positionV>
            <wp:extent cx="1243693" cy="33745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3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lastRenderedPageBreak/>
        <w:t xml:space="preserve">муниципальной услуги «Выдача выписки из домовой книги, справки о составе семьи, справки с места жительства»: </w:t>
      </w:r>
      <w:r>
        <w:rPr>
          <w:szCs w:val="28"/>
        </w:rPr>
        <w:t xml:space="preserve"> 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Во втором абзаце пункта 2.3 словосочетание «докуме</w:t>
      </w:r>
      <w:r w:rsidR="00990EA4">
        <w:rPr>
          <w:rFonts w:ascii="Times New Roman" w:hAnsi="Times New Roman" w:cs="Times New Roman"/>
          <w:sz w:val="28"/>
          <w:szCs w:val="28"/>
        </w:rPr>
        <w:t>нтов: выписки из домовой книги,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665CC5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1.3.2. Абзац 11 пункта 2.5. изложить в новой редакции:</w:t>
      </w:r>
    </w:p>
    <w:p w:rsidR="006F59F0" w:rsidRDefault="00665CC5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F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Решение Совета народных депута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муниципального образования «Город Майкоп» от 19.04.2018 г. № 301-рс «</w:t>
      </w:r>
      <w:r w:rsidR="006F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 муниципального образования «Город Майкоп»</w:t>
      </w:r>
      <w:r w:rsidR="006F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Пункт 2.6 изложить в следующей редакции:</w:t>
      </w:r>
    </w:p>
    <w:p w:rsidR="006F59F0" w:rsidRDefault="006F59F0" w:rsidP="006F59F0">
      <w:pPr>
        <w:autoSpaceDE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«2.6 Исчерпывающий перечень документов, необходимых для предоставления муниципальной услуги, способы их получения заявителями и порядок их представления: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2.6.1 В целях получения справки о составе семьи заявители представляют в уполномоченный орган следующие документы: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документ, удостоверяющий личность заявителя и членов его семьи;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свидетельство о заключении брака (при наличии);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свидетельство о расторжении брака (при наличии);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свидетельство(а) о рождении детей (при наличии);</w:t>
      </w:r>
    </w:p>
    <w:p w:rsidR="006F59F0" w:rsidRDefault="006F59F0" w:rsidP="006F59F0">
      <w:pPr>
        <w:adjustRightInd w:val="0"/>
        <w:ind w:right="-1"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>
        <w:rPr>
          <w:color w:val="000000"/>
          <w:szCs w:val="28"/>
        </w:rPr>
        <w:t>документ, подтверждающий полномочия представителя физического лица.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2.6.2. В целях получения справки с места жительства заявители представляют в уполномоченный орган следующие документы:</w:t>
      </w:r>
    </w:p>
    <w:p w:rsidR="006F59F0" w:rsidRDefault="006F59F0" w:rsidP="006F59F0">
      <w:pPr>
        <w:adjustRightInd w:val="0"/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документ, удостоверяющий личность заявителя;</w:t>
      </w:r>
    </w:p>
    <w:p w:rsidR="006F59F0" w:rsidRDefault="006F59F0" w:rsidP="006F59F0">
      <w:pPr>
        <w:adjustRightInd w:val="0"/>
        <w:ind w:right="-1"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>
        <w:rPr>
          <w:color w:val="000000"/>
          <w:szCs w:val="28"/>
        </w:rPr>
        <w:t>документ, подтверждающий полномочия представителя физического лица.</w:t>
      </w:r>
    </w:p>
    <w:p w:rsidR="006F59F0" w:rsidRDefault="006F59F0" w:rsidP="006F59F0">
      <w:pPr>
        <w:ind w:right="-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После изучения документов, указанных в пунктах 2.6.1, 2.6.2, должностное лицо, уполномоченное на предоставление муниципальной услуги, возвращает заявителю оригиналы представленных документов.</w:t>
      </w:r>
    </w:p>
    <w:p w:rsidR="006F59F0" w:rsidRDefault="006F59F0" w:rsidP="006F59F0">
      <w:pPr>
        <w:pStyle w:val="a8"/>
        <w:ind w:left="0" w:right="-1" w:firstLine="709"/>
        <w:jc w:val="both"/>
        <w:rPr>
          <w:szCs w:val="28"/>
        </w:rPr>
      </w:pPr>
      <w:r>
        <w:rPr>
          <w:szCs w:val="28"/>
        </w:rPr>
        <w:t>Требовать от заявителей документы, не предусмотренные пунктами 2.6.1, 2.6.2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услуги.».</w:t>
      </w:r>
    </w:p>
    <w:p w:rsidR="006F59F0" w:rsidRDefault="006F59F0" w:rsidP="006F59F0">
      <w:pPr>
        <w:pStyle w:val="a8"/>
        <w:ind w:left="0" w:right="-1" w:firstLine="709"/>
        <w:jc w:val="both"/>
        <w:rPr>
          <w:szCs w:val="28"/>
        </w:rPr>
      </w:pPr>
      <w:r>
        <w:rPr>
          <w:szCs w:val="28"/>
        </w:rPr>
        <w:t>1.3.4. Пункт 2.8. дополнить абзацем:</w:t>
      </w:r>
    </w:p>
    <w:p w:rsidR="006F59F0" w:rsidRDefault="006F59F0" w:rsidP="006F59F0">
      <w:pPr>
        <w:pStyle w:val="a8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«При предоставлении муниципальной услуги уполномоченный орган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пунктом 4 части 1 статьи 7 Федерального закона от 27.07.2010 № 210- ФЗ». 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таблице пункта 2.9 строку 5 исключить.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абзацах 3,4 пункта  3.1 словосочетание «выписки из домовой книги,» исключить.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1.3.7. Пункт 3.2 изложить в следующей редакции: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«3.2</w:t>
      </w:r>
      <w:bookmarkStart w:id="1" w:name="sub_131136"/>
      <w:bookmarkEnd w:id="1"/>
      <w:r>
        <w:rPr>
          <w:szCs w:val="28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либо письменное обращение заявителя или его представителя в Управление или МФЦ с документами, предусмотренными пунктами 2.6.1, 2.6.2 настоящего Административного регламента.</w:t>
      </w:r>
    </w:p>
    <w:p w:rsidR="006F59F0" w:rsidRDefault="006F59F0" w:rsidP="006F59F0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right="-1" w:firstLine="709"/>
        <w:rPr>
          <w:sz w:val="28"/>
          <w:szCs w:val="28"/>
        </w:rPr>
      </w:pPr>
      <w:bookmarkStart w:id="2" w:name="sub_131137"/>
      <w:bookmarkEnd w:id="2"/>
      <w:r>
        <w:rPr>
          <w:sz w:val="28"/>
          <w:szCs w:val="28"/>
          <w:lang w:eastAsia="ru-RU"/>
        </w:rPr>
        <w:t xml:space="preserve">Должностное лицо Управления, сотрудник МФЦ </w:t>
      </w:r>
      <w:r>
        <w:rPr>
          <w:sz w:val="28"/>
          <w:szCs w:val="28"/>
        </w:rPr>
        <w:t xml:space="preserve">устанавливает предмет обращения, устанавливает личность обратившегося, проверяет документ, удостоверяющий личность, </w:t>
      </w:r>
      <w:r>
        <w:rPr>
          <w:sz w:val="28"/>
          <w:szCs w:val="28"/>
          <w:lang w:eastAsia="ru-RU"/>
        </w:rPr>
        <w:t xml:space="preserve">определяет соответствие лица, обратившегося за предоставлением муниципальной услуги, статусу заявителя, предусмотренному пунктом 1.2 Административного регламента, </w:t>
      </w:r>
      <w:r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заявитель информируется об этом в устной (либо в письменной) форме с пояснениями о причинах такого отказа.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r:id="rId13" w:anchor="sub_13517" w:history="1">
        <w:r w:rsidRPr="006532F8">
          <w:rPr>
            <w:rStyle w:val="aa"/>
            <w:color w:val="auto"/>
            <w:szCs w:val="28"/>
            <w:u w:val="none"/>
          </w:rPr>
          <w:t>пункт</w:t>
        </w:r>
      </w:hyperlink>
      <w:r w:rsidRPr="006532F8">
        <w:rPr>
          <w:szCs w:val="28"/>
        </w:rPr>
        <w:t>ом</w:t>
      </w:r>
      <w:r>
        <w:rPr>
          <w:szCs w:val="28"/>
        </w:rPr>
        <w:t xml:space="preserve"> 2.6 Административного регламента, в полном объёме, должностное лицо Управления, сотрудник МФЦ</w:t>
      </w:r>
      <w:bookmarkStart w:id="3" w:name="sub_131139"/>
      <w:bookmarkEnd w:id="3"/>
      <w:r>
        <w:rPr>
          <w:szCs w:val="28"/>
        </w:rPr>
        <w:t xml:space="preserve"> приступает к оформлению документов.</w:t>
      </w:r>
    </w:p>
    <w:p w:rsidR="006F59F0" w:rsidRPr="00563657" w:rsidRDefault="006F59F0" w:rsidP="006F59F0">
      <w:pPr>
        <w:autoSpaceDE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        Срок </w:t>
      </w:r>
      <w:r w:rsidRPr="00563657">
        <w:rPr>
          <w:szCs w:val="28"/>
        </w:rPr>
        <w:t>исполнения процедуры</w:t>
      </w:r>
      <w:r>
        <w:rPr>
          <w:szCs w:val="28"/>
        </w:rPr>
        <w:t xml:space="preserve"> - в течение одного дня.</w:t>
      </w:r>
      <w:r w:rsidRPr="00563657">
        <w:rPr>
          <w:szCs w:val="28"/>
        </w:rPr>
        <w:t>».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Пункт 3.3 изложить в следующей редакции: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«3.3.</w:t>
      </w:r>
      <w:bookmarkStart w:id="4" w:name="sub_131241"/>
      <w:bookmarkEnd w:id="4"/>
      <w:r>
        <w:rPr>
          <w:szCs w:val="28"/>
        </w:rPr>
        <w:t xml:space="preserve"> Основанием для начала исполнения административной процедуры по оформлению запрашиваемых документов является результат рассмотрения предоставленных заявителем документов и их соответствие требованиям, предъявляемым к данным документам.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bookmarkStart w:id="5" w:name="sub_131242"/>
      <w:bookmarkEnd w:id="5"/>
      <w:r>
        <w:rPr>
          <w:szCs w:val="28"/>
        </w:rPr>
        <w:t xml:space="preserve">По результатам рассмотрения представленных заявителем документов должностное лицо Управления, МФЦ оформляет испрашиваемый заявителем документ согласно </w:t>
      </w:r>
      <w:hyperlink r:id="rId14" w:anchor="sub_10300" w:history="1">
        <w:r w:rsidRPr="006532F8">
          <w:rPr>
            <w:rStyle w:val="aa"/>
            <w:color w:val="auto"/>
            <w:szCs w:val="28"/>
            <w:u w:val="none"/>
          </w:rPr>
          <w:t>приложениям</w:t>
        </w:r>
      </w:hyperlink>
      <w:r>
        <w:rPr>
          <w:szCs w:val="28"/>
        </w:rPr>
        <w:t xml:space="preserve"> № 2, № 3 к Административному регламенту, подписывает его и возвращает представленные заявителем оригиналы документов, которые требовались для предоставления муниципальной услуги.</w:t>
      </w:r>
      <w:bookmarkStart w:id="6" w:name="sub_131243"/>
      <w:bookmarkStart w:id="7" w:name="sub_131244"/>
      <w:bookmarkStart w:id="8" w:name="sub_13130"/>
      <w:bookmarkStart w:id="9" w:name="sub_131345"/>
      <w:bookmarkEnd w:id="6"/>
      <w:bookmarkEnd w:id="7"/>
      <w:bookmarkEnd w:id="8"/>
      <w:bookmarkEnd w:id="9"/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Срок </w:t>
      </w:r>
      <w:r w:rsidRPr="00563657">
        <w:rPr>
          <w:szCs w:val="28"/>
        </w:rPr>
        <w:t>исполнения процедуры</w:t>
      </w:r>
      <w:r>
        <w:rPr>
          <w:szCs w:val="28"/>
        </w:rPr>
        <w:t xml:space="preserve"> - в течение двух дней.».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1.3.9. Пункт 3.4 дополнить абзацем</w:t>
      </w:r>
      <w:r w:rsidR="00896F22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«Срок </w:t>
      </w:r>
      <w:r w:rsidRPr="00563657">
        <w:rPr>
          <w:szCs w:val="28"/>
        </w:rPr>
        <w:t>исполнения процедуры</w:t>
      </w:r>
      <w:r>
        <w:rPr>
          <w:szCs w:val="28"/>
        </w:rPr>
        <w:t xml:space="preserve"> - в течение двух дней.».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 xml:space="preserve">1.3.10. </w:t>
      </w:r>
      <w:r>
        <w:rPr>
          <w:color w:val="000000"/>
          <w:szCs w:val="28"/>
        </w:rPr>
        <w:t>В пункте 5.2.: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в под</w:t>
      </w:r>
      <w:r>
        <w:rPr>
          <w:szCs w:val="28"/>
        </w:rPr>
        <w:t>пункте 3</w:t>
      </w:r>
      <w:r>
        <w:rPr>
          <w:color w:val="000000"/>
          <w:szCs w:val="28"/>
        </w:rPr>
        <w:t> 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дополнить подпунктом 10 следующего содержания: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</w:t>
      </w:r>
      <w:r w:rsidR="00D53770">
        <w:rPr>
          <w:color w:val="000000"/>
          <w:szCs w:val="28"/>
        </w:rPr>
        <w:t>о закона от 27.07.2010 № 210-ФЗ</w:t>
      </w:r>
      <w:r>
        <w:rPr>
          <w:color w:val="000000"/>
          <w:szCs w:val="28"/>
        </w:rPr>
        <w:t>.».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1.3.11. Пункт 5.8. дополнить подпунктами 5.8.1., 5.8.2. следующего содержания: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«5.8.1. В случае признания жалобы подлежащей удовлетворению в ответе заявителю, указанном в пункте 5.8.,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 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10" w:name="mailruanchor_sub_11282"/>
      <w:bookmarkEnd w:id="10"/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5.8.2. В случае признания жалобы не подлежащей удовлетворению в ответе заявителю, указанном в пункте 5.8.,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F59F0" w:rsidRDefault="006F59F0" w:rsidP="006F59F0">
      <w:pPr>
        <w:pStyle w:val="a8"/>
        <w:autoSpaceDE w:val="0"/>
        <w:adjustRightInd w:val="0"/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>1.3.12. Приложение № 1 к Административному регламенту исключить.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1.3.13. В приложениях № 2, № 3 к Административному регламенту словосочетание «Краснооктябрьская 21а» заменить на словосочетание «Краснооктябрьская 21».</w:t>
      </w:r>
    </w:p>
    <w:p w:rsidR="006F59F0" w:rsidRDefault="006F59F0" w:rsidP="006F59F0">
      <w:pPr>
        <w:pStyle w:val="a9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F59F0" w:rsidRPr="008A3196" w:rsidRDefault="006F59F0" w:rsidP="006F59F0">
      <w:pPr>
        <w:pStyle w:val="a9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>.</w:t>
      </w:r>
      <w:r w:rsidRPr="008A3196">
        <w:rPr>
          <w:rFonts w:ascii="Times New Roman" w:hAnsi="Times New Roman" w:cs="Times New Roman"/>
          <w:sz w:val="28"/>
          <w:szCs w:val="28"/>
        </w:rPr>
        <w:t>Постановление «</w:t>
      </w:r>
      <w:r w:rsidRPr="008A319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12.12.2012 № 1082 «Об утверждении </w:t>
      </w:r>
      <w:hyperlink r:id="rId15" w:history="1">
        <w:r w:rsidRPr="008A3196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</w:t>
        </w:r>
      </w:hyperlink>
      <w:r w:rsidRPr="008A3196">
        <w:rPr>
          <w:rStyle w:val="ab"/>
          <w:rFonts w:ascii="Times New Roman" w:hAnsi="Times New Roman"/>
          <w:bCs/>
          <w:color w:val="auto"/>
          <w:sz w:val="28"/>
          <w:szCs w:val="28"/>
        </w:rPr>
        <w:t>» вступает в силу со дня его официального опубликования.</w:t>
      </w:r>
    </w:p>
    <w:p w:rsidR="006F59F0" w:rsidRDefault="006F59F0" w:rsidP="006F59F0">
      <w:pPr>
        <w:tabs>
          <w:tab w:val="left" w:pos="1134"/>
        </w:tabs>
        <w:ind w:firstLine="709"/>
        <w:jc w:val="both"/>
      </w:pPr>
    </w:p>
    <w:p w:rsidR="006F59F0" w:rsidRDefault="006F59F0" w:rsidP="006F59F0">
      <w:pPr>
        <w:jc w:val="both"/>
      </w:pPr>
      <w:r>
        <w:t>Глава муниципального образования</w:t>
      </w:r>
    </w:p>
    <w:p w:rsidR="006F59F0" w:rsidRDefault="006F59F0" w:rsidP="006F59F0">
      <w:pPr>
        <w:jc w:val="both"/>
      </w:pPr>
      <w:r>
        <w:t xml:space="preserve">«Город Майкоп»                                                                           А.Л. Гетманов </w:t>
      </w:r>
    </w:p>
    <w:p w:rsidR="006F59F0" w:rsidRDefault="006F59F0" w:rsidP="006F59F0">
      <w:pPr>
        <w:pStyle w:val="ConsPlusNormal"/>
        <w:widowControl/>
        <w:suppressAutoHyphens/>
        <w:ind w:firstLine="709"/>
        <w:jc w:val="both"/>
        <w:outlineLvl w:val="1"/>
      </w:pPr>
    </w:p>
    <w:p w:rsidR="000D6277" w:rsidRPr="00BF3749" w:rsidRDefault="000D6277" w:rsidP="006F59F0">
      <w:pPr>
        <w:pStyle w:val="3"/>
      </w:pPr>
    </w:p>
    <w:sectPr w:rsidR="000D6277" w:rsidRPr="00BF3749" w:rsidSect="00AD3A66">
      <w:headerReference w:type="default" r:id="rId16"/>
      <w:pgSz w:w="11906" w:h="16838"/>
      <w:pgMar w:top="851" w:right="1134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D5" w:rsidRDefault="002F3AD5" w:rsidP="00AD2C0F">
      <w:r>
        <w:separator/>
      </w:r>
    </w:p>
  </w:endnote>
  <w:endnote w:type="continuationSeparator" w:id="0">
    <w:p w:rsidR="002F3AD5" w:rsidRDefault="002F3AD5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D5" w:rsidRDefault="002F3AD5" w:rsidP="00AD2C0F">
      <w:r>
        <w:separator/>
      </w:r>
    </w:p>
  </w:footnote>
  <w:footnote w:type="continuationSeparator" w:id="0">
    <w:p w:rsidR="002F3AD5" w:rsidRDefault="002F3AD5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941D3A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BD5C42">
      <w:rPr>
        <w:noProof/>
      </w:rPr>
      <w:t>4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504F7"/>
    <w:rsid w:val="00051E2B"/>
    <w:rsid w:val="00056067"/>
    <w:rsid w:val="00063CCD"/>
    <w:rsid w:val="00066920"/>
    <w:rsid w:val="00093BD7"/>
    <w:rsid w:val="00096C1D"/>
    <w:rsid w:val="00097C0F"/>
    <w:rsid w:val="000A0AFA"/>
    <w:rsid w:val="000A2340"/>
    <w:rsid w:val="000A250A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1302B0"/>
    <w:rsid w:val="00130FAF"/>
    <w:rsid w:val="00134FA2"/>
    <w:rsid w:val="001367F1"/>
    <w:rsid w:val="001407BF"/>
    <w:rsid w:val="001477EC"/>
    <w:rsid w:val="0016021F"/>
    <w:rsid w:val="00163B80"/>
    <w:rsid w:val="00166256"/>
    <w:rsid w:val="0016644D"/>
    <w:rsid w:val="0016774C"/>
    <w:rsid w:val="00172A0F"/>
    <w:rsid w:val="001760D8"/>
    <w:rsid w:val="00181656"/>
    <w:rsid w:val="001B1B57"/>
    <w:rsid w:val="001B24FD"/>
    <w:rsid w:val="001B36DB"/>
    <w:rsid w:val="001D23AE"/>
    <w:rsid w:val="001D4D5E"/>
    <w:rsid w:val="001E5DDA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950D3"/>
    <w:rsid w:val="002B4E67"/>
    <w:rsid w:val="002D1B57"/>
    <w:rsid w:val="002E2405"/>
    <w:rsid w:val="002E7E96"/>
    <w:rsid w:val="002F3AD5"/>
    <w:rsid w:val="002F4E6F"/>
    <w:rsid w:val="002F6A5D"/>
    <w:rsid w:val="00303B0C"/>
    <w:rsid w:val="003179C8"/>
    <w:rsid w:val="00323AB5"/>
    <w:rsid w:val="003314D6"/>
    <w:rsid w:val="00351E92"/>
    <w:rsid w:val="00361190"/>
    <w:rsid w:val="00374CCD"/>
    <w:rsid w:val="00377D11"/>
    <w:rsid w:val="00381FE7"/>
    <w:rsid w:val="00387E68"/>
    <w:rsid w:val="00391091"/>
    <w:rsid w:val="003955FB"/>
    <w:rsid w:val="003A02FC"/>
    <w:rsid w:val="003A506C"/>
    <w:rsid w:val="003B37F6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1794B"/>
    <w:rsid w:val="00422A71"/>
    <w:rsid w:val="00425BD3"/>
    <w:rsid w:val="00441B38"/>
    <w:rsid w:val="00447015"/>
    <w:rsid w:val="00451C01"/>
    <w:rsid w:val="00456BF9"/>
    <w:rsid w:val="00490A93"/>
    <w:rsid w:val="004B18B7"/>
    <w:rsid w:val="004B1BC1"/>
    <w:rsid w:val="004D0AFA"/>
    <w:rsid w:val="004E3142"/>
    <w:rsid w:val="004E3A2E"/>
    <w:rsid w:val="004E3B11"/>
    <w:rsid w:val="004E6B68"/>
    <w:rsid w:val="00506CD4"/>
    <w:rsid w:val="005249EE"/>
    <w:rsid w:val="00531BDB"/>
    <w:rsid w:val="00546EEF"/>
    <w:rsid w:val="005554C1"/>
    <w:rsid w:val="00570B43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FA2"/>
    <w:rsid w:val="005F2292"/>
    <w:rsid w:val="005F2D61"/>
    <w:rsid w:val="005F420B"/>
    <w:rsid w:val="00622F45"/>
    <w:rsid w:val="00625B63"/>
    <w:rsid w:val="0063605E"/>
    <w:rsid w:val="00636792"/>
    <w:rsid w:val="00640286"/>
    <w:rsid w:val="0064422A"/>
    <w:rsid w:val="00661E8C"/>
    <w:rsid w:val="00663E05"/>
    <w:rsid w:val="00665CC5"/>
    <w:rsid w:val="006740EE"/>
    <w:rsid w:val="00681F4C"/>
    <w:rsid w:val="00682127"/>
    <w:rsid w:val="00695814"/>
    <w:rsid w:val="006A1A90"/>
    <w:rsid w:val="006A21D0"/>
    <w:rsid w:val="006B0D83"/>
    <w:rsid w:val="006B0FDD"/>
    <w:rsid w:val="006B20BD"/>
    <w:rsid w:val="006C3166"/>
    <w:rsid w:val="006C6527"/>
    <w:rsid w:val="006D2894"/>
    <w:rsid w:val="006E12E2"/>
    <w:rsid w:val="006F59F0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A7718"/>
    <w:rsid w:val="007A7FD9"/>
    <w:rsid w:val="007C076E"/>
    <w:rsid w:val="007C43BD"/>
    <w:rsid w:val="007D0BAB"/>
    <w:rsid w:val="007E0FD4"/>
    <w:rsid w:val="007E225E"/>
    <w:rsid w:val="007F2316"/>
    <w:rsid w:val="007F62FA"/>
    <w:rsid w:val="00801D95"/>
    <w:rsid w:val="0080414C"/>
    <w:rsid w:val="00805E75"/>
    <w:rsid w:val="00807CA4"/>
    <w:rsid w:val="00811052"/>
    <w:rsid w:val="00812F9C"/>
    <w:rsid w:val="008152B3"/>
    <w:rsid w:val="00822E30"/>
    <w:rsid w:val="008255A8"/>
    <w:rsid w:val="00861AEB"/>
    <w:rsid w:val="0086660F"/>
    <w:rsid w:val="008853EB"/>
    <w:rsid w:val="00896F22"/>
    <w:rsid w:val="008A23EE"/>
    <w:rsid w:val="008A4494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329CB"/>
    <w:rsid w:val="00937C92"/>
    <w:rsid w:val="00941D3A"/>
    <w:rsid w:val="009450AB"/>
    <w:rsid w:val="0095747A"/>
    <w:rsid w:val="00981D53"/>
    <w:rsid w:val="009859D5"/>
    <w:rsid w:val="00990EA4"/>
    <w:rsid w:val="00994ED1"/>
    <w:rsid w:val="009A2612"/>
    <w:rsid w:val="009A47A5"/>
    <w:rsid w:val="009C0899"/>
    <w:rsid w:val="009C3578"/>
    <w:rsid w:val="009C68BA"/>
    <w:rsid w:val="009D5498"/>
    <w:rsid w:val="009D65DB"/>
    <w:rsid w:val="009D6C2C"/>
    <w:rsid w:val="009F6A47"/>
    <w:rsid w:val="009F7C74"/>
    <w:rsid w:val="00A011B3"/>
    <w:rsid w:val="00A0242F"/>
    <w:rsid w:val="00A17F73"/>
    <w:rsid w:val="00A258C6"/>
    <w:rsid w:val="00A323C3"/>
    <w:rsid w:val="00A33998"/>
    <w:rsid w:val="00A36BAA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ED7"/>
    <w:rsid w:val="00AD2C0F"/>
    <w:rsid w:val="00AD3536"/>
    <w:rsid w:val="00AD3A66"/>
    <w:rsid w:val="00AF5D03"/>
    <w:rsid w:val="00AF7F2D"/>
    <w:rsid w:val="00B17F15"/>
    <w:rsid w:val="00B217B0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4AD5"/>
    <w:rsid w:val="00B954E0"/>
    <w:rsid w:val="00B96549"/>
    <w:rsid w:val="00B9783B"/>
    <w:rsid w:val="00BA0D3E"/>
    <w:rsid w:val="00BB23A4"/>
    <w:rsid w:val="00BB3B14"/>
    <w:rsid w:val="00BD463E"/>
    <w:rsid w:val="00BD5C42"/>
    <w:rsid w:val="00BD6639"/>
    <w:rsid w:val="00BE111A"/>
    <w:rsid w:val="00BE3CDB"/>
    <w:rsid w:val="00BE4E57"/>
    <w:rsid w:val="00BF3749"/>
    <w:rsid w:val="00BF3B10"/>
    <w:rsid w:val="00C02CBB"/>
    <w:rsid w:val="00C0766A"/>
    <w:rsid w:val="00C10DE7"/>
    <w:rsid w:val="00C315B3"/>
    <w:rsid w:val="00C32A2C"/>
    <w:rsid w:val="00C42A1F"/>
    <w:rsid w:val="00C5034A"/>
    <w:rsid w:val="00C74E59"/>
    <w:rsid w:val="00C831FE"/>
    <w:rsid w:val="00C84881"/>
    <w:rsid w:val="00C878C7"/>
    <w:rsid w:val="00C97701"/>
    <w:rsid w:val="00CA1561"/>
    <w:rsid w:val="00CA3A75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2BA2"/>
    <w:rsid w:val="00D23FCD"/>
    <w:rsid w:val="00D42308"/>
    <w:rsid w:val="00D46AFD"/>
    <w:rsid w:val="00D53770"/>
    <w:rsid w:val="00D5674D"/>
    <w:rsid w:val="00D56D0C"/>
    <w:rsid w:val="00D738B2"/>
    <w:rsid w:val="00D73A92"/>
    <w:rsid w:val="00D808CC"/>
    <w:rsid w:val="00D836CB"/>
    <w:rsid w:val="00D903B3"/>
    <w:rsid w:val="00DA220D"/>
    <w:rsid w:val="00DB3F80"/>
    <w:rsid w:val="00DC3C56"/>
    <w:rsid w:val="00DD4659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5450"/>
    <w:rsid w:val="00E3585B"/>
    <w:rsid w:val="00E35A14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7B07"/>
    <w:rsid w:val="00EA6879"/>
    <w:rsid w:val="00EA7416"/>
    <w:rsid w:val="00EB4099"/>
    <w:rsid w:val="00EB7D9D"/>
    <w:rsid w:val="00EC5973"/>
    <w:rsid w:val="00ED741B"/>
    <w:rsid w:val="00EE357D"/>
    <w:rsid w:val="00EF1A75"/>
    <w:rsid w:val="00F01F51"/>
    <w:rsid w:val="00F10EFB"/>
    <w:rsid w:val="00F27DA7"/>
    <w:rsid w:val="00F31484"/>
    <w:rsid w:val="00F57D0B"/>
    <w:rsid w:val="00F6054B"/>
    <w:rsid w:val="00F616AD"/>
    <w:rsid w:val="00F70071"/>
    <w:rsid w:val="00F76776"/>
    <w:rsid w:val="00F811D8"/>
    <w:rsid w:val="00F866C3"/>
    <w:rsid w:val="00F93A0C"/>
    <w:rsid w:val="00FA122B"/>
    <w:rsid w:val="00FA3BA9"/>
    <w:rsid w:val="00FB290F"/>
    <w:rsid w:val="00FB51F6"/>
    <w:rsid w:val="00FD763C"/>
    <w:rsid w:val="00FE252F"/>
    <w:rsid w:val="00FE2AEA"/>
    <w:rsid w:val="00FE6B39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0120A-77C5-411F-88B6-924EAD6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B94AD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dmin\Desktop\&#1040;&#1044;&#1052;&#1048;&#1053;&#1048;&#1057;&#1058;&#1056;&#1040;&#1062;&#1048;&#1071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74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7283.0" TargetMode="External"/><Relationship Id="rId10" Type="http://schemas.openxmlformats.org/officeDocument/2006/relationships/hyperlink" Target="garantF1://322472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hyperlink" Target="file:///C:\Users\Admin\Desktop\&#1040;&#1044;&#1052;&#1048;&#1053;&#1048;&#1057;&#1058;&#1056;&#1040;&#1062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C57F-70B7-44D1-B96D-EFBA093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9446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25</cp:revision>
  <cp:lastPrinted>2018-11-12T13:26:00Z</cp:lastPrinted>
  <dcterms:created xsi:type="dcterms:W3CDTF">2018-08-27T14:56:00Z</dcterms:created>
  <dcterms:modified xsi:type="dcterms:W3CDTF">2018-11-12T13:27:00Z</dcterms:modified>
</cp:coreProperties>
</file>