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67521C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4F03C3" w:rsidRDefault="00C128E1" w:rsidP="00C128E1">
      <w:pPr>
        <w:jc w:val="center"/>
        <w:rPr>
          <w:sz w:val="28"/>
          <w:szCs w:val="28"/>
        </w:rPr>
      </w:pPr>
      <w:r w:rsidRPr="004F03C3">
        <w:rPr>
          <w:sz w:val="28"/>
          <w:szCs w:val="28"/>
        </w:rPr>
        <w:t xml:space="preserve">от </w:t>
      </w:r>
      <w:r w:rsidR="00823550">
        <w:rPr>
          <w:i/>
          <w:sz w:val="28"/>
          <w:szCs w:val="28"/>
          <w:u w:val="single"/>
        </w:rPr>
        <w:t>16.11.2018   № 1422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Pr="006E626A" w:rsidRDefault="00F3258E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8616E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8C5FB6" w:rsidRPr="006E626A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3C3" w:rsidRPr="006E626A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 w:rsidRPr="006E626A">
        <w:rPr>
          <w:b/>
          <w:color w:val="000000" w:themeColor="text1"/>
          <w:sz w:val="28"/>
          <w:szCs w:val="28"/>
        </w:rPr>
        <w:t>Выдача специального разрешения на провоз тяжеловесных и крупногабаритных грузов на территории муниципального образования «Город Майкоп</w:t>
      </w:r>
      <w:r w:rsidR="004E3BF0" w:rsidRPr="006E626A">
        <w:rPr>
          <w:b/>
          <w:color w:val="000000" w:themeColor="text1"/>
          <w:sz w:val="28"/>
          <w:szCs w:val="28"/>
        </w:rPr>
        <w:t>»</w:t>
      </w:r>
    </w:p>
    <w:p w:rsidR="002965C5" w:rsidRDefault="002965C5" w:rsidP="00996DDF">
      <w:pPr>
        <w:pStyle w:val="a6"/>
        <w:rPr>
          <w:szCs w:val="28"/>
        </w:rPr>
      </w:pPr>
    </w:p>
    <w:p w:rsidR="006E626A" w:rsidRPr="006E626A" w:rsidRDefault="006E626A" w:rsidP="00996DDF">
      <w:pPr>
        <w:pStyle w:val="a6"/>
        <w:rPr>
          <w:szCs w:val="28"/>
        </w:rPr>
      </w:pPr>
    </w:p>
    <w:p w:rsidR="00996DDF" w:rsidRDefault="00F13F98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1E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целях приведения в </w:t>
      </w:r>
      <w:r w:rsidR="008A18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соответствие с </w:t>
      </w:r>
      <w:r w:rsidR="008A1872" w:rsidRPr="00E22F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Федеральным законом </w:t>
      </w:r>
      <w:r w:rsidR="008A1872" w:rsidRPr="00E22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27.07.2010 № 210-ФЗ «Об организации предоставления государственных и муниципальных услуг»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8A1872">
        <w:rPr>
          <w:color w:val="000000" w:themeColor="text1"/>
          <w:sz w:val="28"/>
          <w:szCs w:val="28"/>
        </w:rPr>
        <w:t>Административный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 w:rsidR="008A1872">
        <w:rPr>
          <w:color w:val="000000" w:themeColor="text1"/>
          <w:sz w:val="28"/>
          <w:szCs w:val="28"/>
        </w:rPr>
        <w:t xml:space="preserve">, утвержденный </w:t>
      </w:r>
      <w:r w:rsidR="008A1872" w:rsidRPr="004E1860">
        <w:rPr>
          <w:rFonts w:eastAsia="Calibri"/>
          <w:color w:val="000000" w:themeColor="text1"/>
          <w:sz w:val="28"/>
          <w:szCs w:val="28"/>
          <w:lang w:eastAsia="en-US"/>
        </w:rPr>
        <w:t>постановление</w:t>
      </w:r>
      <w:r w:rsidR="008A1872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8A1872" w:rsidRPr="004E186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муниципального образования «Город Майкоп» от 23.05.2014 № 367</w:t>
      </w:r>
      <w:r>
        <w:rPr>
          <w:color w:val="000000" w:themeColor="text1"/>
          <w:sz w:val="28"/>
          <w:szCs w:val="28"/>
        </w:rPr>
        <w:t xml:space="preserve"> 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муниципального образования «Город Майкоп» от 23.10.2015 № 734, от 15.06.2016 № 483</w:t>
      </w:r>
      <w:r w:rsidR="006E626A">
        <w:rPr>
          <w:color w:val="000000" w:themeColor="text1"/>
          <w:sz w:val="28"/>
          <w:szCs w:val="28"/>
        </w:rPr>
        <w:t>, от 31.05.2018 № </w:t>
      </w:r>
      <w:r w:rsidR="00325D40">
        <w:rPr>
          <w:color w:val="000000" w:themeColor="text1"/>
          <w:sz w:val="28"/>
          <w:szCs w:val="28"/>
        </w:rPr>
        <w:t>673</w:t>
      </w:r>
      <w:r>
        <w:rPr>
          <w:color w:val="000000" w:themeColor="text1"/>
          <w:sz w:val="28"/>
          <w:szCs w:val="28"/>
        </w:rPr>
        <w:t>), следующие изменения:</w:t>
      </w:r>
    </w:p>
    <w:p w:rsidR="005324BD" w:rsidRDefault="008F27C8" w:rsidP="006E626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1.1. Изложить пункт 1.2 в следующей редакции:</w:t>
      </w:r>
    </w:p>
    <w:p w:rsidR="008F27C8" w:rsidRDefault="008F27C8" w:rsidP="006E62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16D">
        <w:rPr>
          <w:rFonts w:eastAsia="Calibri"/>
          <w:sz w:val="28"/>
          <w:szCs w:val="28"/>
          <w:lang w:eastAsia="en-US"/>
        </w:rPr>
        <w:t>«</w:t>
      </w:r>
      <w:r w:rsidRPr="0026216D">
        <w:rPr>
          <w:sz w:val="28"/>
          <w:szCs w:val="28"/>
          <w:shd w:val="clear" w:color="auto" w:fill="FFFFFF"/>
        </w:rPr>
        <w:t xml:space="preserve">1.2. Заявителями на предоставление муниципальной услуги являются физические лица, индивидуальные предприниматели, юридические лица </w:t>
      </w:r>
      <w:r w:rsidR="0026216D" w:rsidRPr="0026216D">
        <w:rPr>
          <w:sz w:val="28"/>
          <w:szCs w:val="28"/>
          <w:shd w:val="clear" w:color="auto" w:fill="FFFFFF"/>
        </w:rPr>
        <w:t xml:space="preserve">либо их уполномоченные представители </w:t>
      </w:r>
      <w:r w:rsidRPr="0026216D">
        <w:rPr>
          <w:sz w:val="28"/>
          <w:szCs w:val="28"/>
          <w:shd w:val="clear" w:color="auto" w:fill="FFFFFF"/>
        </w:rPr>
        <w:t>(далее - Заявители).</w:t>
      </w:r>
      <w:r w:rsidRPr="0026216D">
        <w:rPr>
          <w:rFonts w:eastAsia="Calibri"/>
          <w:sz w:val="28"/>
          <w:szCs w:val="28"/>
          <w:lang w:eastAsia="en-US"/>
        </w:rPr>
        <w:t>».</w:t>
      </w:r>
    </w:p>
    <w:p w:rsidR="0026216D" w:rsidRDefault="0026216D" w:rsidP="006E62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Дополнить подпунктом 2.6.1 следующего содержания:</w:t>
      </w:r>
    </w:p>
    <w:p w:rsidR="001A164D" w:rsidRPr="00E22F78" w:rsidRDefault="0026216D" w:rsidP="006E626A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A164D">
        <w:rPr>
          <w:rFonts w:eastAsia="Calibri"/>
          <w:sz w:val="28"/>
          <w:szCs w:val="28"/>
          <w:lang w:eastAsia="en-US"/>
        </w:rPr>
        <w:t xml:space="preserve">2.6.1. </w:t>
      </w:r>
      <w:r w:rsidR="001A164D" w:rsidRPr="00E22F78">
        <w:rPr>
          <w:color w:val="000000" w:themeColor="text1"/>
          <w:sz w:val="28"/>
          <w:szCs w:val="28"/>
        </w:rPr>
        <w:t>При предоставлении муниципальной</w:t>
      </w:r>
      <w:r w:rsidR="001A164D">
        <w:rPr>
          <w:color w:val="000000" w:themeColor="text1"/>
          <w:sz w:val="28"/>
          <w:szCs w:val="28"/>
        </w:rPr>
        <w:t xml:space="preserve"> услуги запрещено требовать от З</w:t>
      </w:r>
      <w:r w:rsidR="001A164D" w:rsidRPr="00E22F78">
        <w:rPr>
          <w:color w:val="000000" w:themeColor="text1"/>
          <w:sz w:val="28"/>
          <w:szCs w:val="28"/>
        </w:rPr>
        <w:t>аявителя:</w:t>
      </w:r>
    </w:p>
    <w:p w:rsidR="001A164D" w:rsidRPr="00E22F78" w:rsidRDefault="006E626A" w:rsidP="006E626A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" w:name="p_91"/>
      <w:bookmarkEnd w:id="1"/>
      <w:r w:rsidRPr="006E626A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590CBD7D" wp14:editId="58CE4A76">
            <wp:simplePos x="0" y="0"/>
            <wp:positionH relativeFrom="margin">
              <wp:posOffset>4474845</wp:posOffset>
            </wp:positionH>
            <wp:positionV relativeFrom="margin">
              <wp:posOffset>9185910</wp:posOffset>
            </wp:positionV>
            <wp:extent cx="1371600" cy="42500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64D" w:rsidRPr="00E22F78">
        <w:rPr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1A164D" w:rsidRPr="00115322" w:rsidRDefault="001A164D" w:rsidP="001A164D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p_92"/>
      <w:bookmarkEnd w:id="2"/>
      <w:r w:rsidRPr="00E22F78">
        <w:rPr>
          <w:color w:val="000000" w:themeColor="text1"/>
          <w:sz w:val="28"/>
          <w:szCs w:val="28"/>
        </w:rPr>
        <w:lastRenderedPageBreak/>
        <w:t xml:space="preserve">- </w:t>
      </w:r>
      <w:r w:rsidRPr="00115322">
        <w:rPr>
          <w:sz w:val="28"/>
          <w:szCs w:val="28"/>
          <w:shd w:val="clear" w:color="auto" w:fill="FFFFFF"/>
        </w:rPr>
        <w:t>представления документов и информации, в том</w:t>
      </w:r>
      <w:r>
        <w:rPr>
          <w:sz w:val="28"/>
          <w:szCs w:val="28"/>
          <w:shd w:val="clear" w:color="auto" w:fill="FFFFFF"/>
        </w:rPr>
        <w:t xml:space="preserve"> числе подтверждающих внесение З</w:t>
      </w:r>
      <w:r w:rsidRPr="00115322">
        <w:rPr>
          <w:sz w:val="28"/>
          <w:szCs w:val="28"/>
          <w:shd w:val="clear" w:color="auto" w:fill="FFFFFF"/>
        </w:rPr>
        <w:t>аявителем платы за предоставление муниципальной услуги, которые находятся в распоряжении Учреждения</w:t>
      </w:r>
      <w:r>
        <w:rPr>
          <w:sz w:val="28"/>
          <w:szCs w:val="28"/>
          <w:shd w:val="clear" w:color="auto" w:fill="FFFFFF"/>
        </w:rPr>
        <w:t>,</w:t>
      </w:r>
      <w:r w:rsidRPr="00115322">
        <w:rPr>
          <w:sz w:val="28"/>
          <w:szCs w:val="28"/>
          <w:shd w:val="clear" w:color="auto" w:fill="FFFFFF"/>
        </w:rPr>
        <w:t xml:space="preserve">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документов, включенных в определенный частью 6 </w:t>
      </w:r>
      <w:r w:rsidRPr="00115322">
        <w:rPr>
          <w:sz w:val="28"/>
          <w:szCs w:val="28"/>
        </w:rPr>
        <w:t xml:space="preserve">статьи 7 Федерального закона от 27.07.2010 </w:t>
      </w:r>
      <w:r w:rsidR="006E626A">
        <w:rPr>
          <w:sz w:val="28"/>
          <w:szCs w:val="28"/>
        </w:rPr>
        <w:t xml:space="preserve">     </w:t>
      </w:r>
      <w:r w:rsidRPr="00115322">
        <w:rPr>
          <w:sz w:val="28"/>
          <w:szCs w:val="28"/>
        </w:rPr>
        <w:t xml:space="preserve">№ 210-ФЗ «Об организации предоставления государственных и муниципальных услуг» </w:t>
      </w:r>
      <w:r w:rsidRPr="00115322">
        <w:rPr>
          <w:sz w:val="28"/>
          <w:szCs w:val="28"/>
          <w:shd w:val="clear" w:color="auto" w:fill="FFFFFF"/>
        </w:rPr>
        <w:t>перечень документов. Заявитель вправе представить указанные документы и информацию в Учреждение по собственной инициативе;</w:t>
      </w:r>
    </w:p>
    <w:p w:rsidR="001A164D" w:rsidRPr="00E22F78" w:rsidRDefault="001A164D" w:rsidP="001A164D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760">
        <w:rPr>
          <w:sz w:val="28"/>
          <w:szCs w:val="28"/>
        </w:rPr>
        <w:t xml:space="preserve">- </w:t>
      </w:r>
      <w:r w:rsidRPr="00136760">
        <w:rPr>
          <w:sz w:val="28"/>
          <w:szCs w:val="28"/>
          <w:shd w:val="clear" w:color="auto" w:fill="FFFFFF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  <w:shd w:val="clear" w:color="auto" w:fill="FFFFFF"/>
        </w:rPr>
        <w:t>муниципальной</w:t>
      </w:r>
      <w:r w:rsidRPr="0013676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136760">
        <w:rPr>
          <w:sz w:val="28"/>
          <w:szCs w:val="28"/>
          <w:shd w:val="clear" w:color="auto" w:fill="FFFFFF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</w:t>
      </w:r>
      <w:r w:rsidRPr="00136760">
        <w:rPr>
          <w:sz w:val="28"/>
          <w:szCs w:val="28"/>
        </w:rPr>
        <w:t xml:space="preserve"> Федерального закона от 27.07.2010 № 210-ФЗ «Об организации предоставления государственных и муниципальных услуг»;</w:t>
      </w:r>
    </w:p>
    <w:p w:rsidR="001A164D" w:rsidRPr="00E22F78" w:rsidRDefault="001A164D" w:rsidP="001A16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164D" w:rsidRPr="00E22F78" w:rsidRDefault="001A164D" w:rsidP="001A16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164D" w:rsidRPr="00E22F78" w:rsidRDefault="001A164D" w:rsidP="001A16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б) наличие ошибок в заявлении о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 и документах, поданных З</w:t>
      </w:r>
      <w:r w:rsidRPr="00E22F78">
        <w:rPr>
          <w:color w:val="000000" w:themeColor="text1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164D" w:rsidRPr="00E22F78" w:rsidRDefault="001A164D" w:rsidP="001A16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216D" w:rsidRDefault="001A164D" w:rsidP="001A164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2F78">
        <w:rPr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при первоначальном отказе в приеме документов, необходимых для предоставления муниципальной услуги, </w:t>
      </w:r>
      <w:r>
        <w:rPr>
          <w:color w:val="000000" w:themeColor="text1"/>
          <w:sz w:val="28"/>
          <w:szCs w:val="28"/>
        </w:rPr>
        <w:lastRenderedPageBreak/>
        <w:t>уведомляется З</w:t>
      </w:r>
      <w:r w:rsidRPr="00E22F78">
        <w:rPr>
          <w:color w:val="000000" w:themeColor="text1"/>
          <w:sz w:val="28"/>
          <w:szCs w:val="28"/>
        </w:rPr>
        <w:t>аявитель, а также приносятся извинения за доставленные неудобства.</w:t>
      </w:r>
      <w:r w:rsidR="0026216D">
        <w:rPr>
          <w:rFonts w:eastAsia="Calibri"/>
          <w:sz w:val="28"/>
          <w:szCs w:val="28"/>
          <w:lang w:eastAsia="en-US"/>
        </w:rPr>
        <w:t>».</w:t>
      </w:r>
    </w:p>
    <w:p w:rsidR="00493094" w:rsidRPr="00E22F78" w:rsidRDefault="001A164D" w:rsidP="0049309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493094" w:rsidRPr="00E22F78">
        <w:rPr>
          <w:rFonts w:eastAsia="Calibri"/>
          <w:color w:val="000000" w:themeColor="text1"/>
          <w:sz w:val="28"/>
          <w:szCs w:val="28"/>
        </w:rPr>
        <w:t xml:space="preserve">Изложить </w:t>
      </w:r>
      <w:r w:rsidR="00E6689E">
        <w:rPr>
          <w:rFonts w:eastAsia="Calibri"/>
          <w:color w:val="000000" w:themeColor="text1"/>
          <w:sz w:val="28"/>
          <w:szCs w:val="28"/>
        </w:rPr>
        <w:t>подпункт 3</w:t>
      </w:r>
      <w:r w:rsidR="00493094">
        <w:rPr>
          <w:rFonts w:eastAsia="Calibri"/>
          <w:color w:val="000000" w:themeColor="text1"/>
          <w:sz w:val="28"/>
          <w:szCs w:val="28"/>
        </w:rPr>
        <w:t xml:space="preserve"> пункта 5.1</w:t>
      </w:r>
      <w:r w:rsidR="00493094" w:rsidRPr="00E22F78">
        <w:rPr>
          <w:rFonts w:eastAsia="Calibri"/>
          <w:color w:val="000000" w:themeColor="text1"/>
          <w:sz w:val="28"/>
          <w:szCs w:val="28"/>
        </w:rPr>
        <w:t xml:space="preserve"> в следующей редакции:</w:t>
      </w:r>
    </w:p>
    <w:p w:rsidR="001A164D" w:rsidRDefault="00493094" w:rsidP="00493094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E22F78">
        <w:rPr>
          <w:rFonts w:eastAsia="Calibri"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>3) требование у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</w:t>
      </w:r>
      <w:r w:rsidR="001A59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5985" w:rsidRPr="001A5985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«Город Майкоп»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, для предоставления муниципальной услуги;</w:t>
      </w:r>
      <w:r w:rsidRPr="00E22F78">
        <w:rPr>
          <w:rFonts w:eastAsia="Calibri"/>
          <w:color w:val="000000" w:themeColor="text1"/>
          <w:sz w:val="28"/>
          <w:szCs w:val="28"/>
        </w:rPr>
        <w:t>».</w:t>
      </w:r>
    </w:p>
    <w:p w:rsidR="001A5985" w:rsidRPr="00E22F78" w:rsidRDefault="00493094" w:rsidP="001A598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1.4. </w:t>
      </w:r>
      <w:r w:rsidR="001A5985" w:rsidRPr="001A5985">
        <w:rPr>
          <w:rFonts w:eastAsia="Calibri"/>
          <w:color w:val="000000" w:themeColor="text1"/>
          <w:sz w:val="28"/>
          <w:szCs w:val="28"/>
        </w:rPr>
        <w:t>Дополнить пункт 5.1 подпунктом 10 следующего содержания</w:t>
      </w:r>
      <w:r w:rsidR="001A5985">
        <w:rPr>
          <w:rFonts w:eastAsia="Calibri"/>
          <w:color w:val="000000" w:themeColor="text1"/>
          <w:sz w:val="28"/>
          <w:szCs w:val="28"/>
        </w:rPr>
        <w:t>:</w:t>
      </w:r>
    </w:p>
    <w:p w:rsidR="00CC5978" w:rsidRDefault="00CC5978" w:rsidP="00CC597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E22F78">
        <w:rPr>
          <w:rFonts w:eastAsia="Calibri"/>
          <w:color w:val="000000" w:themeColor="text1"/>
          <w:sz w:val="28"/>
          <w:szCs w:val="28"/>
        </w:rPr>
        <w:t xml:space="preserve">«10) </w:t>
      </w:r>
      <w:r>
        <w:rPr>
          <w:color w:val="000000" w:themeColor="text1"/>
          <w:sz w:val="28"/>
          <w:szCs w:val="28"/>
          <w:shd w:val="clear" w:color="auto" w:fill="FFFFFF"/>
        </w:rPr>
        <w:t>требование у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абзацем</w:t>
      </w:r>
      <w:r>
        <w:rPr>
          <w:color w:val="000000" w:themeColor="text1"/>
          <w:sz w:val="28"/>
          <w:szCs w:val="28"/>
        </w:rPr>
        <w:t xml:space="preserve"> 5 пункта 2.6.1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 настоящего Административного регламента.</w:t>
      </w:r>
      <w:r w:rsidRPr="00E22F78">
        <w:rPr>
          <w:rFonts w:eastAsia="Calibri"/>
          <w:color w:val="000000" w:themeColor="text1"/>
          <w:sz w:val="28"/>
          <w:szCs w:val="28"/>
        </w:rPr>
        <w:t>».</w:t>
      </w:r>
    </w:p>
    <w:p w:rsidR="00663E27" w:rsidRPr="00E22F78" w:rsidRDefault="00CC5978" w:rsidP="001A59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1.5. </w:t>
      </w:r>
      <w:r w:rsidR="001A5985" w:rsidRPr="00E22F78">
        <w:rPr>
          <w:color w:val="000000" w:themeColor="text1"/>
          <w:sz w:val="28"/>
          <w:szCs w:val="28"/>
        </w:rPr>
        <w:t>Дополнить</w:t>
      </w:r>
      <w:r w:rsidR="001A5985" w:rsidRPr="001A5985">
        <w:rPr>
          <w:color w:val="000000" w:themeColor="text1"/>
          <w:sz w:val="28"/>
          <w:szCs w:val="28"/>
        </w:rPr>
        <w:t xml:space="preserve"> подпункт</w:t>
      </w:r>
      <w:r w:rsidR="001A5985">
        <w:rPr>
          <w:color w:val="000000" w:themeColor="text1"/>
          <w:sz w:val="28"/>
          <w:szCs w:val="28"/>
        </w:rPr>
        <w:t>ами</w:t>
      </w:r>
      <w:r w:rsidR="001A5985" w:rsidRPr="001A5985">
        <w:rPr>
          <w:color w:val="000000" w:themeColor="text1"/>
          <w:sz w:val="28"/>
          <w:szCs w:val="28"/>
        </w:rPr>
        <w:t xml:space="preserve"> 5.6.1 и 5.6.2 следующего содержания:</w:t>
      </w:r>
    </w:p>
    <w:p w:rsidR="00493094" w:rsidRDefault="00663E27" w:rsidP="00663E27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5.6</w:t>
      </w:r>
      <w:r w:rsidRPr="00E22F78">
        <w:rPr>
          <w:color w:val="000000" w:themeColor="text1"/>
          <w:sz w:val="28"/>
          <w:szCs w:val="28"/>
        </w:rPr>
        <w:t xml:space="preserve">.1.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A24E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указанном в пункте 5.6</w:t>
      </w:r>
      <w:r w:rsidRPr="003468F4">
        <w:rPr>
          <w:sz w:val="28"/>
          <w:szCs w:val="28"/>
        </w:rPr>
        <w:t xml:space="preserve"> </w:t>
      </w:r>
      <w:r w:rsidRPr="003468F4">
        <w:rPr>
          <w:sz w:val="28"/>
          <w:szCs w:val="28"/>
          <w:shd w:val="clear" w:color="auto" w:fill="FFFFFF"/>
        </w:rPr>
        <w:t>настоящего Административного регламента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>
        <w:rPr>
          <w:color w:val="000000" w:themeColor="text1"/>
          <w:sz w:val="28"/>
          <w:szCs w:val="28"/>
          <w:shd w:val="clear" w:color="auto" w:fill="FFFFFF"/>
        </w:rPr>
        <w:t>, которые необходимо совершить З</w:t>
      </w:r>
      <w:r w:rsidRPr="00E22F78">
        <w:rPr>
          <w:color w:val="000000" w:themeColor="text1"/>
          <w:sz w:val="28"/>
          <w:szCs w:val="28"/>
          <w:shd w:val="clear" w:color="auto" w:fill="FFFFFF"/>
        </w:rPr>
        <w:t>аявителю в целях получения муниципальной услуги.</w:t>
      </w:r>
    </w:p>
    <w:p w:rsidR="008F2C73" w:rsidRPr="0026216D" w:rsidRDefault="001A5985" w:rsidP="001643C2">
      <w:pPr>
        <w:ind w:firstLine="708"/>
        <w:jc w:val="both"/>
        <w:rPr>
          <w:color w:val="000000" w:themeColor="text1"/>
          <w:sz w:val="28"/>
          <w:szCs w:val="28"/>
        </w:rPr>
      </w:pPr>
      <w:r w:rsidRPr="00E22F78">
        <w:rPr>
          <w:color w:val="000000" w:themeColor="text1"/>
          <w:sz w:val="28"/>
          <w:szCs w:val="28"/>
        </w:rPr>
        <w:t xml:space="preserve"> </w:t>
      </w:r>
      <w:r w:rsidR="001643C2">
        <w:rPr>
          <w:color w:val="000000" w:themeColor="text1"/>
          <w:sz w:val="28"/>
          <w:szCs w:val="28"/>
        </w:rPr>
        <w:t>5.6</w:t>
      </w:r>
      <w:r w:rsidR="001643C2" w:rsidRPr="00E22F78">
        <w:rPr>
          <w:color w:val="000000" w:themeColor="text1"/>
          <w:sz w:val="28"/>
          <w:szCs w:val="28"/>
        </w:rPr>
        <w:t xml:space="preserve">.2. </w:t>
      </w:r>
      <w:r w:rsidR="001643C2" w:rsidRPr="00E22F78">
        <w:rPr>
          <w:color w:val="000000" w:themeColor="text1"/>
          <w:sz w:val="28"/>
          <w:szCs w:val="28"/>
          <w:shd w:val="clear" w:color="auto" w:fill="FFFFFF"/>
        </w:rPr>
        <w:t>В случае признания жалобы не подл</w:t>
      </w:r>
      <w:r w:rsidR="001643C2">
        <w:rPr>
          <w:color w:val="000000" w:themeColor="text1"/>
          <w:sz w:val="28"/>
          <w:szCs w:val="28"/>
          <w:shd w:val="clear" w:color="auto" w:fill="FFFFFF"/>
        </w:rPr>
        <w:t>ежащей удовлетворению в ответе З</w:t>
      </w:r>
      <w:r w:rsidR="001643C2" w:rsidRPr="00E22F78">
        <w:rPr>
          <w:color w:val="000000" w:themeColor="text1"/>
          <w:sz w:val="28"/>
          <w:szCs w:val="28"/>
          <w:shd w:val="clear" w:color="auto" w:fill="FFFFFF"/>
        </w:rPr>
        <w:t>аявителю</w:t>
      </w:r>
      <w:r w:rsidR="001643C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643C2">
        <w:rPr>
          <w:sz w:val="28"/>
          <w:szCs w:val="28"/>
          <w:shd w:val="clear" w:color="auto" w:fill="FFFFFF"/>
        </w:rPr>
        <w:t>указанном в пункте 5.6</w:t>
      </w:r>
      <w:r w:rsidR="001643C2" w:rsidRPr="003468F4">
        <w:rPr>
          <w:sz w:val="28"/>
          <w:szCs w:val="28"/>
        </w:rPr>
        <w:t xml:space="preserve"> </w:t>
      </w:r>
      <w:r w:rsidR="001643C2" w:rsidRPr="003468F4">
        <w:rPr>
          <w:sz w:val="28"/>
          <w:szCs w:val="28"/>
          <w:shd w:val="clear" w:color="auto" w:fill="FFFFFF"/>
        </w:rPr>
        <w:t>настоящего Административного регламента</w:t>
      </w:r>
      <w:r w:rsidR="001643C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643C2" w:rsidRPr="00E22F78">
        <w:rPr>
          <w:color w:val="000000" w:themeColor="text1"/>
          <w:sz w:val="28"/>
          <w:szCs w:val="28"/>
          <w:shd w:val="clear" w:color="auto" w:fill="FFFFFF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1643C2" w:rsidRPr="00E22F78">
        <w:rPr>
          <w:color w:val="000000" w:themeColor="text1"/>
          <w:sz w:val="28"/>
          <w:szCs w:val="28"/>
        </w:rPr>
        <w:t>».</w:t>
      </w:r>
    </w:p>
    <w:p w:rsidR="006965F8" w:rsidRPr="006C1E00" w:rsidRDefault="006C1E00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4E1860" w:rsidRDefault="006C1E00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4E1860" w:rsidRPr="004E1860">
        <w:rPr>
          <w:color w:val="000000" w:themeColor="text1"/>
          <w:sz w:val="28"/>
          <w:szCs w:val="28"/>
        </w:rPr>
        <w:t>О внесении изменений в</w:t>
      </w:r>
      <w:r w:rsidR="004E1860" w:rsidRP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27C8">
        <w:rPr>
          <w:color w:val="000000" w:themeColor="text1"/>
          <w:sz w:val="28"/>
          <w:szCs w:val="28"/>
        </w:rPr>
        <w:t>Административный регламент</w:t>
      </w:r>
      <w:r w:rsidR="004E1860"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1C" w:rsidRDefault="0067521C" w:rsidP="003F198A">
      <w:r>
        <w:separator/>
      </w:r>
    </w:p>
  </w:endnote>
  <w:endnote w:type="continuationSeparator" w:id="0">
    <w:p w:rsidR="0067521C" w:rsidRDefault="0067521C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1C" w:rsidRDefault="0067521C" w:rsidP="003F198A">
      <w:r>
        <w:separator/>
      </w:r>
    </w:p>
  </w:footnote>
  <w:footnote w:type="continuationSeparator" w:id="0">
    <w:p w:rsidR="0067521C" w:rsidRDefault="0067521C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50">
          <w:rPr>
            <w:noProof/>
          </w:rPr>
          <w:t>3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521EE"/>
    <w:rsid w:val="001643C2"/>
    <w:rsid w:val="00170F6A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22740"/>
    <w:rsid w:val="00325D40"/>
    <w:rsid w:val="003324D0"/>
    <w:rsid w:val="00340932"/>
    <w:rsid w:val="00340CB9"/>
    <w:rsid w:val="003444AB"/>
    <w:rsid w:val="00375750"/>
    <w:rsid w:val="00376861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C2B39"/>
    <w:rsid w:val="004C616D"/>
    <w:rsid w:val="004D2429"/>
    <w:rsid w:val="004E1860"/>
    <w:rsid w:val="004E3BF0"/>
    <w:rsid w:val="004F03C3"/>
    <w:rsid w:val="0050277B"/>
    <w:rsid w:val="00515809"/>
    <w:rsid w:val="005235B8"/>
    <w:rsid w:val="00523777"/>
    <w:rsid w:val="005324BD"/>
    <w:rsid w:val="005363C4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14E5F"/>
    <w:rsid w:val="0082268C"/>
    <w:rsid w:val="00823550"/>
    <w:rsid w:val="00834DA0"/>
    <w:rsid w:val="00850567"/>
    <w:rsid w:val="00850D6D"/>
    <w:rsid w:val="00851002"/>
    <w:rsid w:val="00852963"/>
    <w:rsid w:val="008616E1"/>
    <w:rsid w:val="00867AFF"/>
    <w:rsid w:val="00870530"/>
    <w:rsid w:val="00877715"/>
    <w:rsid w:val="00880253"/>
    <w:rsid w:val="0089017E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F0ECD"/>
    <w:rsid w:val="008F27C8"/>
    <w:rsid w:val="008F2C73"/>
    <w:rsid w:val="0090350C"/>
    <w:rsid w:val="009039DD"/>
    <w:rsid w:val="0092242D"/>
    <w:rsid w:val="00927A58"/>
    <w:rsid w:val="00950C37"/>
    <w:rsid w:val="00952ADC"/>
    <w:rsid w:val="0095709F"/>
    <w:rsid w:val="009601C1"/>
    <w:rsid w:val="00960DC4"/>
    <w:rsid w:val="0096433A"/>
    <w:rsid w:val="00971DC4"/>
    <w:rsid w:val="0098541A"/>
    <w:rsid w:val="0098579C"/>
    <w:rsid w:val="009861F6"/>
    <w:rsid w:val="009878B5"/>
    <w:rsid w:val="00990D51"/>
    <w:rsid w:val="009966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5DCA"/>
    <w:rsid w:val="00CE0FA2"/>
    <w:rsid w:val="00CE7E97"/>
    <w:rsid w:val="00D2538D"/>
    <w:rsid w:val="00D2541F"/>
    <w:rsid w:val="00D30A67"/>
    <w:rsid w:val="00D43FF2"/>
    <w:rsid w:val="00D52392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2158"/>
    <w:rsid w:val="00E936D1"/>
    <w:rsid w:val="00E95262"/>
    <w:rsid w:val="00E95324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44A0-6635-42AD-979A-C6BD006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25</cp:revision>
  <cp:lastPrinted>2018-11-16T08:58:00Z</cp:lastPrinted>
  <dcterms:created xsi:type="dcterms:W3CDTF">2018-04-13T07:01:00Z</dcterms:created>
  <dcterms:modified xsi:type="dcterms:W3CDTF">2018-11-16T08:59:00Z</dcterms:modified>
</cp:coreProperties>
</file>