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C3697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2D31CBE" wp14:editId="280295A4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A85DAB">
      <w:pPr>
        <w:jc w:val="center"/>
      </w:pPr>
      <w:r>
        <w:t xml:space="preserve">от </w:t>
      </w:r>
      <w:r w:rsidR="00907065">
        <w:rPr>
          <w:i/>
          <w:szCs w:val="28"/>
          <w:u w:val="single"/>
        </w:rPr>
        <w:t>28.03.2018   № 392</w:t>
      </w:r>
    </w:p>
    <w:p w:rsidR="003314D6" w:rsidRDefault="003314D6">
      <w:pPr>
        <w:jc w:val="center"/>
      </w:pPr>
      <w:r>
        <w:t>г. Майкоп</w:t>
      </w:r>
    </w:p>
    <w:p w:rsidR="00BA76B4" w:rsidRDefault="00BA76B4">
      <w:pPr>
        <w:jc w:val="center"/>
      </w:pPr>
    </w:p>
    <w:p w:rsidR="00BA76B4" w:rsidRDefault="00BA76B4">
      <w:pPr>
        <w:jc w:val="center"/>
      </w:pPr>
    </w:p>
    <w:p w:rsidR="00BA76B4" w:rsidRDefault="00BA76B4" w:rsidP="00BA76B4">
      <w:pPr>
        <w:pStyle w:val="4"/>
        <w:numPr>
          <w:ilvl w:val="3"/>
          <w:numId w:val="2"/>
        </w:numPr>
        <w:suppressAutoHyphens/>
        <w:ind w:left="0" w:firstLine="0"/>
      </w:pPr>
      <w:r w:rsidRPr="005D78AC">
        <w:t xml:space="preserve">О мерах по обеспечению исполнения бюджета муниципального образования «Город Майкоп» </w:t>
      </w:r>
    </w:p>
    <w:p w:rsidR="00BA76B4" w:rsidRDefault="00BA76B4" w:rsidP="00BA76B4"/>
    <w:p w:rsidR="00BA76B4" w:rsidRPr="00EC796E" w:rsidRDefault="00BA76B4" w:rsidP="00BA76B4">
      <w:pPr>
        <w:jc w:val="both"/>
        <w:rPr>
          <w:szCs w:val="28"/>
        </w:rPr>
      </w:pPr>
    </w:p>
    <w:p w:rsidR="00BA76B4" w:rsidRPr="00214B7D" w:rsidRDefault="00BA76B4" w:rsidP="00BA76B4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14B7D">
        <w:rPr>
          <w:sz w:val="28"/>
          <w:szCs w:val="28"/>
          <w:shd w:val="clear" w:color="auto" w:fill="FFFFFF"/>
        </w:rPr>
        <w:t>В соответствии со статьей 52 Федерального закона от 06.10.2003 №131-ФЗ «Об общих принципах организации местного самоуправления в Российской Федерации», статьей 16 Решения Совета народных депута</w:t>
      </w:r>
      <w:r w:rsidR="00793A92">
        <w:rPr>
          <w:sz w:val="28"/>
          <w:szCs w:val="28"/>
          <w:shd w:val="clear" w:color="auto" w:fill="FFFFFF"/>
        </w:rPr>
        <w:t xml:space="preserve">тов муниципального образования </w:t>
      </w:r>
      <w:r w:rsidRPr="00214B7D">
        <w:rPr>
          <w:sz w:val="28"/>
          <w:szCs w:val="28"/>
          <w:shd w:val="clear" w:color="auto" w:fill="FFFFFF"/>
        </w:rPr>
        <w:t>«Город Ма</w:t>
      </w:r>
      <w:r w:rsidR="00C83C70">
        <w:rPr>
          <w:sz w:val="28"/>
          <w:szCs w:val="28"/>
          <w:shd w:val="clear" w:color="auto" w:fill="FFFFFF"/>
        </w:rPr>
        <w:t>йкоп» от 24.12.2007 №239-рс</w:t>
      </w:r>
      <w:r w:rsidRPr="00214B7D">
        <w:rPr>
          <w:sz w:val="28"/>
          <w:szCs w:val="28"/>
          <w:shd w:val="clear" w:color="auto" w:fill="FFFFFF"/>
        </w:rPr>
        <w:t xml:space="preserve"> «Об утверждении Положения «О бюджетном процессе в муниципальном образовании «Город</w:t>
      </w:r>
      <w:r w:rsidR="00793A92">
        <w:rPr>
          <w:sz w:val="28"/>
          <w:szCs w:val="28"/>
          <w:shd w:val="clear" w:color="auto" w:fill="FFFFFF"/>
        </w:rPr>
        <w:t xml:space="preserve"> Майкоп» и в целях обеспечения </w:t>
      </w:r>
      <w:r w:rsidRPr="00214B7D">
        <w:rPr>
          <w:sz w:val="28"/>
          <w:szCs w:val="28"/>
          <w:shd w:val="clear" w:color="auto" w:fill="FFFFFF"/>
        </w:rPr>
        <w:t>исполнения бюджета муниципального обра</w:t>
      </w:r>
      <w:r w:rsidR="00793A92">
        <w:rPr>
          <w:sz w:val="28"/>
          <w:szCs w:val="28"/>
          <w:shd w:val="clear" w:color="auto" w:fill="FFFFFF"/>
        </w:rPr>
        <w:t xml:space="preserve">зования «Город Майкоп», </w:t>
      </w:r>
      <w:proofErr w:type="gramStart"/>
      <w:r w:rsidRPr="00214B7D">
        <w:rPr>
          <w:sz w:val="28"/>
          <w:szCs w:val="28"/>
          <w:shd w:val="clear" w:color="auto" w:fill="FFFFFF"/>
        </w:rPr>
        <w:t>п</w:t>
      </w:r>
      <w:proofErr w:type="gramEnd"/>
      <w:r w:rsidRPr="00214B7D">
        <w:rPr>
          <w:sz w:val="28"/>
          <w:szCs w:val="28"/>
          <w:shd w:val="clear" w:color="auto" w:fill="FFFFFF"/>
        </w:rPr>
        <w:t xml:space="preserve"> о с т а н о в </w:t>
      </w:r>
      <w:proofErr w:type="gramStart"/>
      <w:r w:rsidRPr="00214B7D">
        <w:rPr>
          <w:sz w:val="28"/>
          <w:szCs w:val="28"/>
          <w:shd w:val="clear" w:color="auto" w:fill="FFFFFF"/>
        </w:rPr>
        <w:t>л</w:t>
      </w:r>
      <w:proofErr w:type="gramEnd"/>
      <w:r w:rsidRPr="00214B7D">
        <w:rPr>
          <w:sz w:val="28"/>
          <w:szCs w:val="28"/>
          <w:shd w:val="clear" w:color="auto" w:fill="FFFFFF"/>
        </w:rPr>
        <w:t xml:space="preserve"> я ю:</w:t>
      </w:r>
    </w:p>
    <w:p w:rsidR="00BA76B4" w:rsidRPr="00214B7D" w:rsidRDefault="00BA76B4" w:rsidP="00C962F8">
      <w:pPr>
        <w:pStyle w:val="ab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14B7D">
        <w:rPr>
          <w:sz w:val="28"/>
          <w:szCs w:val="28"/>
          <w:shd w:val="clear" w:color="auto" w:fill="FFFFFF"/>
        </w:rPr>
        <w:t>Установить, что получатели средств бюджета муниципального образования «Город Майкоп»:</w:t>
      </w:r>
    </w:p>
    <w:p w:rsidR="00BA76B4" w:rsidRPr="00214B7D" w:rsidRDefault="00BA76B4" w:rsidP="00EC796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214B7D">
        <w:rPr>
          <w:sz w:val="28"/>
          <w:szCs w:val="28"/>
          <w:shd w:val="clear" w:color="auto" w:fill="FFFFFF"/>
        </w:rPr>
        <w:t>осуществляют оплату расходов на исполнение публичных нормативных обязательств в соответствии с утвержденными бюджетными ассигнованиями;</w:t>
      </w:r>
    </w:p>
    <w:p w:rsidR="00BA76B4" w:rsidRPr="00214B7D" w:rsidRDefault="00BA76B4" w:rsidP="003929CD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14B7D">
        <w:rPr>
          <w:sz w:val="28"/>
          <w:szCs w:val="28"/>
          <w:shd w:val="clear" w:color="auto" w:fill="FFFFFF"/>
        </w:rPr>
        <w:t>2) при заключении договоров (муниципальных контрактов), предметом которых являются поставки товаров, выполнение работ, оказание услуг, подлежащих оплате за счет средств бюджета муниципального образования «Город Майкоп» (далее - м</w:t>
      </w:r>
      <w:r w:rsidR="0006045A">
        <w:rPr>
          <w:sz w:val="28"/>
          <w:szCs w:val="28"/>
          <w:shd w:val="clear" w:color="auto" w:fill="FFFFFF"/>
        </w:rPr>
        <w:t>естный</w:t>
      </w:r>
      <w:r w:rsidRPr="00214B7D">
        <w:rPr>
          <w:sz w:val="28"/>
          <w:szCs w:val="28"/>
          <w:shd w:val="clear" w:color="auto" w:fill="FFFFFF"/>
        </w:rPr>
        <w:t xml:space="preserve"> бюджет), вправе предусматривать авансовые (предварительные) платежи:</w:t>
      </w:r>
    </w:p>
    <w:p w:rsidR="00BA76B4" w:rsidRPr="00214B7D" w:rsidRDefault="0077631F" w:rsidP="003929CD">
      <w:pPr>
        <w:pStyle w:val="ab"/>
        <w:tabs>
          <w:tab w:val="left" w:pos="630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26FD77" wp14:editId="70D6802A">
            <wp:simplePos x="0" y="0"/>
            <wp:positionH relativeFrom="margin">
              <wp:posOffset>4360122</wp:posOffset>
            </wp:positionH>
            <wp:positionV relativeFrom="margin">
              <wp:posOffset>9224222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C81">
        <w:rPr>
          <w:sz w:val="28"/>
          <w:szCs w:val="28"/>
          <w:shd w:val="clear" w:color="auto" w:fill="FFFFFF"/>
        </w:rPr>
        <w:t>а) в размере до 100%</w:t>
      </w:r>
      <w:r w:rsidR="00BA76B4" w:rsidRPr="00214B7D">
        <w:rPr>
          <w:sz w:val="28"/>
          <w:szCs w:val="28"/>
          <w:shd w:val="clear" w:color="auto" w:fill="FFFFFF"/>
        </w:rPr>
        <w:t xml:space="preserve"> (включительно) суммы договора (муниципального контракта), но не более лимитов бюджетных обязательств, подлежащих исполнению за счет средств м</w:t>
      </w:r>
      <w:r w:rsidR="0006045A">
        <w:rPr>
          <w:sz w:val="28"/>
          <w:szCs w:val="28"/>
          <w:shd w:val="clear" w:color="auto" w:fill="FFFFFF"/>
        </w:rPr>
        <w:t>естного</w:t>
      </w:r>
      <w:r w:rsidR="00BA76B4" w:rsidRPr="00214B7D">
        <w:rPr>
          <w:sz w:val="28"/>
          <w:szCs w:val="28"/>
          <w:shd w:val="clear" w:color="auto" w:fill="FFFFFF"/>
        </w:rPr>
        <w:t xml:space="preserve"> бюджета в соответствующем финансовом году – по договорам (муниципальным контрактам) об оказании услуг связи (в том числе подключение и абонентское обслуживание в системе электронного документооборота, услуги </w:t>
      </w:r>
      <w:proofErr w:type="spellStart"/>
      <w:r w:rsidR="00BA76B4" w:rsidRPr="00214B7D">
        <w:rPr>
          <w:sz w:val="28"/>
          <w:szCs w:val="28"/>
          <w:shd w:val="clear" w:color="auto" w:fill="FFFFFF"/>
        </w:rPr>
        <w:t>интернет-провайдеров</w:t>
      </w:r>
      <w:proofErr w:type="spellEnd"/>
      <w:r w:rsidR="00BA76B4" w:rsidRPr="00214B7D">
        <w:rPr>
          <w:sz w:val="28"/>
          <w:szCs w:val="28"/>
          <w:shd w:val="clear" w:color="auto" w:fill="FFFFFF"/>
        </w:rPr>
        <w:t xml:space="preserve">), почтовых услуг, приобретение государственных знаков почтовой оплаты и маркированных конвертов, об оплате услуг за спутниковое телевидение, о подписке на печатные издания и об их приобретении, о регистрации и перерегистрации домена в сети «Интернет», по договорам на услуги хостинга, о подписке на информационно-технологическое сопровождение программных продуктов, на приобретение неисключительных прав (лицензий) на антивирусные </w:t>
      </w:r>
      <w:r w:rsidR="00BA76B4" w:rsidRPr="00214B7D">
        <w:rPr>
          <w:sz w:val="28"/>
          <w:szCs w:val="28"/>
          <w:shd w:val="clear" w:color="auto" w:fill="FFFFFF"/>
        </w:rPr>
        <w:lastRenderedPageBreak/>
        <w:t>программные продукты, об обучении на курсах повышения квалификации, участии в научных, методических, научно-практических и иных конференциях (семинарах, форумах), о проведении государственной экспертизы проектной документации и результатов инженерных изысканий, о проведении государственной экологической экспертизы,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горюче-смазочных материалов с применением топливных карт, по договорам на проживание и бронирование жилья для участников спортивных соревнований, конкурсов, фестивалей, конференций и других мероприятий;</w:t>
      </w:r>
    </w:p>
    <w:p w:rsidR="0006045A" w:rsidRPr="00214B7D" w:rsidRDefault="0006045A" w:rsidP="0006045A">
      <w:pPr>
        <w:ind w:firstLine="709"/>
        <w:jc w:val="both"/>
        <w:rPr>
          <w:szCs w:val="28"/>
        </w:rPr>
      </w:pPr>
      <w:bookmarkStart w:id="1" w:name="sub_52"/>
      <w:r w:rsidRPr="00214B7D">
        <w:rPr>
          <w:szCs w:val="28"/>
          <w:shd w:val="clear" w:color="auto" w:fill="FFFFFF"/>
        </w:rPr>
        <w:t xml:space="preserve">б) </w:t>
      </w:r>
      <w:r w:rsidRPr="00214B7D">
        <w:rPr>
          <w:szCs w:val="28"/>
        </w:rPr>
        <w:t xml:space="preserve">в размере 100% суммы договора (муниципального контракта), но не более лимитов бюджетных обязательств, подлежащих исполнению за счет средств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в соответствующем финансовом году, по договорам (муниципальным контрактам) о проведении проверки достоверности определения сметной стоимости объектов капитального строительства;</w:t>
      </w:r>
    </w:p>
    <w:p w:rsidR="0006045A" w:rsidRPr="00214B7D" w:rsidRDefault="00EC7E1B" w:rsidP="0006045A">
      <w:pPr>
        <w:pStyle w:val="ab"/>
        <w:tabs>
          <w:tab w:val="left" w:pos="630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в размере до 30%</w:t>
      </w:r>
      <w:r w:rsidR="0006045A" w:rsidRPr="00214B7D">
        <w:rPr>
          <w:sz w:val="28"/>
          <w:szCs w:val="28"/>
          <w:shd w:val="clear" w:color="auto" w:fill="FFFFFF"/>
        </w:rPr>
        <w:t xml:space="preserve"> (включительно) суммы договора (муниципального контракта), но не более 30% лимитов бюджетных обязательств, подлежащих исполнению за счет средств </w:t>
      </w:r>
      <w:r w:rsidR="0006045A">
        <w:rPr>
          <w:sz w:val="28"/>
          <w:szCs w:val="28"/>
          <w:shd w:val="clear" w:color="auto" w:fill="FFFFFF"/>
        </w:rPr>
        <w:t>местного</w:t>
      </w:r>
      <w:r w:rsidR="0006045A" w:rsidRPr="00214B7D">
        <w:rPr>
          <w:sz w:val="28"/>
          <w:szCs w:val="28"/>
          <w:shd w:val="clear" w:color="auto" w:fill="FFFFFF"/>
        </w:rPr>
        <w:t xml:space="preserve"> бюджета в соответствующем финансовом году, по остальным договорам (муниципальным контрактам), если иной размер авансовых платежей не установлен законодательством Российской Федерации.</w:t>
      </w:r>
    </w:p>
    <w:p w:rsidR="0006045A" w:rsidRPr="00214B7D" w:rsidRDefault="0006045A" w:rsidP="0006045A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14B7D">
        <w:rPr>
          <w:sz w:val="28"/>
          <w:szCs w:val="28"/>
          <w:shd w:val="clear" w:color="auto" w:fill="FFFFFF"/>
        </w:rPr>
        <w:t xml:space="preserve">3) принимают меры по недопущению образования просроченной кредиторской задолженности по выплате заработной платы, а также по другим расходным обязательствам </w:t>
      </w:r>
      <w:r>
        <w:rPr>
          <w:sz w:val="28"/>
          <w:szCs w:val="28"/>
          <w:shd w:val="clear" w:color="auto" w:fill="FFFFFF"/>
        </w:rPr>
        <w:t>местного</w:t>
      </w:r>
      <w:r w:rsidRPr="00214B7D">
        <w:rPr>
          <w:sz w:val="28"/>
          <w:szCs w:val="28"/>
          <w:shd w:val="clear" w:color="auto" w:fill="FFFFFF"/>
        </w:rPr>
        <w:t xml:space="preserve"> бюджета. </w:t>
      </w:r>
    </w:p>
    <w:p w:rsidR="0006045A" w:rsidRPr="00214B7D" w:rsidRDefault="0006045A" w:rsidP="00D24593">
      <w:pPr>
        <w:pStyle w:val="ab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214B7D">
        <w:rPr>
          <w:sz w:val="28"/>
          <w:szCs w:val="28"/>
        </w:rPr>
        <w:t>Установить, что:</w:t>
      </w:r>
    </w:p>
    <w:p w:rsidR="0006045A" w:rsidRPr="00214B7D" w:rsidRDefault="0006045A" w:rsidP="0006045A">
      <w:pPr>
        <w:ind w:firstLine="709"/>
        <w:jc w:val="both"/>
        <w:rPr>
          <w:szCs w:val="28"/>
        </w:rPr>
      </w:pPr>
      <w:r w:rsidRPr="00214B7D">
        <w:rPr>
          <w:szCs w:val="28"/>
        </w:rPr>
        <w:t xml:space="preserve">1) внесение в текущем финансовом году изменений в сводную бюджетную роспись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на основании предложений, представленных главными распорядителями бюджетных средств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(далее – главные распорядители бюджетных средств) в Финансовое управление администрации муниципального образования «Город Майкоп» (далее – Финансовое управление), предусматривающих увеличение бюджетных ассигнований и лимитов бюджетных обязательств на оплату заключенных муниципальных контрактов, подлежавших в соответствии с условиями этих контрактов оплате в отчетном финансовом году, в объеме, не превышающем остатка не использованных на начало текущего финансового года лимитов бюджетных обязательств на исполнение указанных муниципальных контрактов, осуществляется Финансовым управлением;</w:t>
      </w:r>
    </w:p>
    <w:p w:rsidR="00C83C70" w:rsidRPr="00214B7D" w:rsidRDefault="0006045A" w:rsidP="00C83C70">
      <w:pPr>
        <w:ind w:firstLine="709"/>
        <w:jc w:val="both"/>
        <w:rPr>
          <w:szCs w:val="28"/>
        </w:rPr>
      </w:pPr>
      <w:r w:rsidRPr="00214B7D">
        <w:rPr>
          <w:szCs w:val="28"/>
        </w:rPr>
        <w:t xml:space="preserve">2) при внесении в текущем финансовом году изменений в сводную бюджетную роспись, предусматривающих уточнение объемов бюджетных </w:t>
      </w:r>
      <w:r w:rsidR="00C83C70" w:rsidRPr="00214B7D">
        <w:rPr>
          <w:szCs w:val="28"/>
        </w:rPr>
        <w:lastRenderedPageBreak/>
        <w:t xml:space="preserve">ассигнований на реализацию муниципальных программ муниципального образования «Город Майкоп» (далее – муниципальная программа) и ведомственных целевых программ, главный </w:t>
      </w:r>
      <w:r w:rsidR="00C83C70" w:rsidRPr="00C83C70">
        <w:rPr>
          <w:szCs w:val="28"/>
        </w:rPr>
        <w:t>распорядитель бюджетных</w:t>
      </w:r>
      <w:r w:rsidR="00C83C70">
        <w:rPr>
          <w:szCs w:val="28"/>
        </w:rPr>
        <w:t xml:space="preserve"> </w:t>
      </w:r>
      <w:r w:rsidR="00C83C70" w:rsidRPr="00214B7D">
        <w:rPr>
          <w:szCs w:val="28"/>
        </w:rPr>
        <w:t>средств согласовывает указанные предложения с ответственным исполнителем соответствующей муниципальной программы.</w:t>
      </w:r>
    </w:p>
    <w:p w:rsidR="00C83C70" w:rsidRPr="00214B7D" w:rsidRDefault="00C83C70" w:rsidP="00C83C70">
      <w:pPr>
        <w:ind w:firstLine="709"/>
        <w:jc w:val="both"/>
        <w:rPr>
          <w:szCs w:val="28"/>
        </w:rPr>
      </w:pPr>
      <w:r w:rsidRPr="00214B7D">
        <w:rPr>
          <w:szCs w:val="28"/>
        </w:rPr>
        <w:t xml:space="preserve">3. Принятие бюджетных обязательств, возникающих из контрактов, предусматривающих условие об исполнении в текущем финансовом году денежного обязательства получателя средств </w:t>
      </w:r>
      <w:r>
        <w:rPr>
          <w:szCs w:val="28"/>
        </w:rPr>
        <w:t xml:space="preserve">местного </w:t>
      </w:r>
      <w:r w:rsidRPr="00214B7D">
        <w:rPr>
          <w:szCs w:val="28"/>
        </w:rPr>
        <w:t>бюджета по выплате авансовых платежей, оплате поставленных товаров, выполненных работ (оказанных услуг), срок исполнения которого превышает один месяц, после 1 декабря текущего финансового года в пределах соответствующих лимитов доведенных бюджетных обязательств, не допускается.</w:t>
      </w:r>
    </w:p>
    <w:p w:rsidR="00C83C70" w:rsidRPr="00C83C70" w:rsidRDefault="00C83C70" w:rsidP="00C83C70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3C70">
        <w:rPr>
          <w:sz w:val="28"/>
          <w:szCs w:val="28"/>
        </w:rPr>
        <w:t>Отраслевым (функциональным) органам (подразделениям) Администрации муниципального образования «Город Майкоп», осуществляющим функции и полномочия главного распорядителя бюджетных средств в отношении муниципальных бюджетных и автономных учреждений муниципального образования «Город Майкоп» обеспечить:</w:t>
      </w:r>
    </w:p>
    <w:p w:rsidR="00C83C70" w:rsidRPr="00C83C70" w:rsidRDefault="00C83C70" w:rsidP="00C83C7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3C70">
        <w:rPr>
          <w:sz w:val="28"/>
          <w:szCs w:val="28"/>
        </w:rPr>
        <w:t>1) включение муниципальными бюджетными и автономными учреждениями муниципального образования «Город Майкоп» (далее - муниципальные бюджетные и автономные учреждения) при заключении ими договоров (муниципальных контрактов) о поставке товаров, выполнении работ и оказании услуг условий об авансовых (предварительных) платежах в объеме, не превышающем предельные размеры платежей, установленных в соответствии с подпунктом 2 пункта 1 настоящего постановления;</w:t>
      </w:r>
    </w:p>
    <w:p w:rsidR="00C83C70" w:rsidRPr="00C83C70" w:rsidRDefault="00C83C70" w:rsidP="00C83C7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3C70">
        <w:rPr>
          <w:sz w:val="28"/>
          <w:szCs w:val="28"/>
        </w:rPr>
        <w:t>2) доведение муниципальных заданий на оказание муниципальных услуг (выполнение работ) (далее - муниципальное задание) муниципальным бюджетным и автономным учреждениям, мониторинг и контроль за их выполнением;</w:t>
      </w:r>
    </w:p>
    <w:p w:rsidR="00C83C70" w:rsidRPr="00C83C70" w:rsidRDefault="00C83C70" w:rsidP="00C83C70">
      <w:pPr>
        <w:ind w:firstLine="709"/>
        <w:jc w:val="both"/>
        <w:rPr>
          <w:szCs w:val="28"/>
        </w:rPr>
      </w:pPr>
      <w:r w:rsidRPr="00C83C70">
        <w:rPr>
          <w:szCs w:val="28"/>
        </w:rPr>
        <w:t>3) заключение с муниципальными бюджетными и автономными учреждениями соглашений:</w:t>
      </w:r>
    </w:p>
    <w:p w:rsidR="00C83C70" w:rsidRPr="00C83C70" w:rsidRDefault="00C83C70" w:rsidP="00C83C70">
      <w:pPr>
        <w:jc w:val="both"/>
        <w:rPr>
          <w:szCs w:val="28"/>
        </w:rPr>
      </w:pPr>
      <w:r w:rsidRPr="00C83C70">
        <w:rPr>
          <w:szCs w:val="28"/>
        </w:rPr>
        <w:t>- о предоставлении субсидий из местного бюджета на финансовое обеспечение выполнения муниципального задания (далее - соглашение о предоставлении субсидии);</w:t>
      </w:r>
    </w:p>
    <w:p w:rsidR="00C83C70" w:rsidRPr="00C83C70" w:rsidRDefault="00C83C70" w:rsidP="00C83C70">
      <w:pPr>
        <w:jc w:val="both"/>
        <w:rPr>
          <w:szCs w:val="28"/>
        </w:rPr>
      </w:pPr>
      <w:r w:rsidRPr="00C83C70">
        <w:rPr>
          <w:szCs w:val="28"/>
        </w:rPr>
        <w:t>- о предоставлении субсидий из местного бюджета на иные цели;</w:t>
      </w:r>
    </w:p>
    <w:p w:rsidR="00C83C70" w:rsidRPr="00C83C70" w:rsidRDefault="00C83C70" w:rsidP="00C83C70">
      <w:pPr>
        <w:jc w:val="both"/>
        <w:rPr>
          <w:szCs w:val="28"/>
        </w:rPr>
      </w:pPr>
      <w:r w:rsidRPr="00C83C70">
        <w:rPr>
          <w:szCs w:val="28"/>
        </w:rPr>
        <w:t>-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83C70" w:rsidRPr="00214B7D" w:rsidRDefault="00C83C70" w:rsidP="00C83C70">
      <w:pPr>
        <w:ind w:firstLine="709"/>
        <w:jc w:val="both"/>
        <w:rPr>
          <w:szCs w:val="28"/>
        </w:rPr>
      </w:pPr>
      <w:r w:rsidRPr="00C83C70">
        <w:rPr>
          <w:szCs w:val="28"/>
        </w:rPr>
        <w:t>4) предоставление субсидий из местного бюджета муниципальным бюджетным и автономным учреждениям на финансовое обеспечение выполнения муниципального задани</w:t>
      </w:r>
      <w:r w:rsidRPr="00214B7D">
        <w:rPr>
          <w:szCs w:val="28"/>
        </w:rPr>
        <w:t xml:space="preserve">я в соответствии с </w:t>
      </w:r>
      <w:hyperlink r:id="rId10" w:history="1">
        <w:r w:rsidRPr="00214B7D">
          <w:rPr>
            <w:bCs/>
            <w:szCs w:val="28"/>
          </w:rPr>
          <w:t xml:space="preserve">пунктом 47 </w:t>
        </w:r>
      </w:hyperlink>
      <w:r w:rsidRPr="00214B7D">
        <w:rPr>
          <w:szCs w:val="28"/>
        </w:rPr>
        <w:t xml:space="preserve"> </w:t>
      </w:r>
      <w:r w:rsidRPr="00214B7D">
        <w:rPr>
          <w:szCs w:val="28"/>
        </w:rPr>
        <w:lastRenderedPageBreak/>
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утвержденного постановлением Администрации муниципального образования «Город Майкоп» Республики Адыгея от </w:t>
      </w:r>
      <w:r>
        <w:rPr>
          <w:szCs w:val="28"/>
        </w:rPr>
        <w:t>13.10.</w:t>
      </w:r>
      <w:r w:rsidRPr="00214B7D">
        <w:rPr>
          <w:szCs w:val="28"/>
        </w:rPr>
        <w:t>2015 № 711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задания»;</w:t>
      </w:r>
    </w:p>
    <w:p w:rsidR="00C83C70" w:rsidRPr="00214B7D" w:rsidRDefault="00C83C70" w:rsidP="00C83C70">
      <w:pPr>
        <w:ind w:firstLine="708"/>
        <w:jc w:val="both"/>
      </w:pPr>
      <w:r w:rsidRPr="00C83C70">
        <w:rPr>
          <w:szCs w:val="28"/>
        </w:rPr>
        <w:t>5)</w:t>
      </w:r>
      <w:r w:rsidRPr="00214B7D">
        <w:rPr>
          <w:szCs w:val="28"/>
        </w:rPr>
        <w:t xml:space="preserve"> исполнение </w:t>
      </w:r>
      <w:hyperlink r:id="rId11" w:history="1">
        <w:r w:rsidRPr="00214B7D">
          <w:rPr>
            <w:rStyle w:val="ac"/>
            <w:b w:val="0"/>
            <w:color w:val="auto"/>
            <w:szCs w:val="28"/>
          </w:rPr>
          <w:t>приказа</w:t>
        </w:r>
      </w:hyperlink>
      <w:r w:rsidRPr="00214B7D">
        <w:rPr>
          <w:szCs w:val="28"/>
        </w:rPr>
        <w:t xml:space="preserve"> Министерства финансов </w:t>
      </w:r>
      <w:r>
        <w:rPr>
          <w:szCs w:val="28"/>
        </w:rPr>
        <w:t>Российской Федерации от 21.07.</w:t>
      </w:r>
      <w:r w:rsidRPr="00214B7D">
        <w:rPr>
          <w:szCs w:val="28"/>
        </w:rPr>
        <w:t>2011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C83C70" w:rsidRPr="00214B7D" w:rsidRDefault="00C83C70" w:rsidP="00C83C7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4B7D">
        <w:rPr>
          <w:sz w:val="28"/>
          <w:szCs w:val="28"/>
        </w:rPr>
        <w:t xml:space="preserve">5. Муниципальным бюджетным и автономным учреждениям не позднее 1 апреля текущего финансового года обеспечить возврат в </w:t>
      </w:r>
      <w:r>
        <w:rPr>
          <w:sz w:val="28"/>
          <w:szCs w:val="28"/>
        </w:rPr>
        <w:t>местный</w:t>
      </w:r>
      <w:r w:rsidRPr="00214B7D">
        <w:rPr>
          <w:sz w:val="28"/>
          <w:szCs w:val="28"/>
        </w:rPr>
        <w:t xml:space="preserve"> бюджет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образовавшихся в связи с </w:t>
      </w:r>
      <w:proofErr w:type="spellStart"/>
      <w:r w:rsidRPr="00214B7D">
        <w:rPr>
          <w:sz w:val="28"/>
          <w:szCs w:val="28"/>
        </w:rPr>
        <w:t>недостижением</w:t>
      </w:r>
      <w:proofErr w:type="spellEnd"/>
      <w:r w:rsidRPr="00214B7D">
        <w:rPr>
          <w:sz w:val="28"/>
          <w:szCs w:val="28"/>
        </w:rPr>
        <w:t xml:space="preserve"> установленных муниципальным заданием показателей, характеризующих муниципальные услуги (работы), на основании отчетов о выполнении муниципального задания, представленных главным распорядителям бюджетных средств.</w:t>
      </w:r>
    </w:p>
    <w:p w:rsidR="00C83C70" w:rsidRPr="00214B7D" w:rsidRDefault="00C83C70" w:rsidP="00C83C70">
      <w:pPr>
        <w:ind w:firstLine="709"/>
        <w:jc w:val="both"/>
        <w:rPr>
          <w:szCs w:val="28"/>
        </w:rPr>
      </w:pPr>
      <w:bookmarkStart w:id="2" w:name="sub_18"/>
      <w:r w:rsidRPr="00214B7D">
        <w:rPr>
          <w:szCs w:val="28"/>
        </w:rPr>
        <w:t>6. Установить, что:</w:t>
      </w:r>
    </w:p>
    <w:p w:rsidR="00C83C70" w:rsidRPr="00214B7D" w:rsidRDefault="00C83C70" w:rsidP="00C83C70">
      <w:pPr>
        <w:ind w:firstLine="708"/>
        <w:jc w:val="both"/>
        <w:rPr>
          <w:szCs w:val="28"/>
        </w:rPr>
      </w:pPr>
      <w:bookmarkStart w:id="3" w:name="sub_15"/>
      <w:bookmarkEnd w:id="2"/>
      <w:r w:rsidRPr="00214B7D">
        <w:rPr>
          <w:szCs w:val="28"/>
        </w:rPr>
        <w:t xml:space="preserve">1) принятие решений о наличии потребности в остатках субсидий, предоставленных из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муниципальным бюджетным или автономным учреждениям на иные цели в соответствии с абзацем вторым </w:t>
      </w:r>
      <w:hyperlink r:id="rId12" w:history="1">
        <w:r w:rsidRPr="00214B7D">
          <w:rPr>
            <w:rStyle w:val="ac"/>
            <w:b w:val="0"/>
            <w:color w:val="auto"/>
            <w:szCs w:val="28"/>
          </w:rPr>
          <w:t>пункта 1 статьи 78.1</w:t>
        </w:r>
      </w:hyperlink>
      <w:r w:rsidRPr="00214B7D">
        <w:rPr>
          <w:szCs w:val="28"/>
        </w:rPr>
        <w:t xml:space="preserve"> Бюджетного кодекса Российской Федерации и (или) на осуществление капитальных вложений в объекты муниципальной собственности в соответствии со </w:t>
      </w:r>
      <w:hyperlink r:id="rId13" w:history="1">
        <w:r w:rsidRPr="00214B7D">
          <w:rPr>
            <w:rStyle w:val="ac"/>
            <w:b w:val="0"/>
            <w:color w:val="auto"/>
            <w:szCs w:val="28"/>
          </w:rPr>
          <w:t>статьей 78.2</w:t>
        </w:r>
      </w:hyperlink>
      <w:r w:rsidRPr="00214B7D">
        <w:rPr>
          <w:szCs w:val="28"/>
        </w:rPr>
        <w:t xml:space="preserve"> Бюджетного кодекса Российской Федерации, не использованных ими по состоянию на 1 января текущего финансового года (далее - субсидии на иные цели, субсидии на капитальные вложения), осуществляется главным распорядителем средств как получателем средств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бюджета, предоставляющим муниципальным бюджетным и автономным учреждениям субсидии на иные цели и (или) субсидии на капитальные вложения, при наличии неисполненных обязательств, принятых муниципальным бюджетными и автономными учреждениями, источником финансового обеспечения которых являются неиспользованные остатки субсидии на иные цели и (или) субсидий на капитальные вложения, на основании отчета о расходах муниципального бюджетного и автономного учреждения с приложением к нему копий документов, подтверждающих наличие неисполненных принятых обязательств (далее - принятые обязательства) и (или) </w:t>
      </w:r>
      <w:r w:rsidRPr="00214B7D">
        <w:rPr>
          <w:szCs w:val="28"/>
        </w:rPr>
        <w:lastRenderedPageBreak/>
        <w:t>обязательств, подлежащих принятию в текущем финансовом году (далее - подлежащие принятию обязательства), представленных ими указанным главным распорядителям средств;</w:t>
      </w:r>
    </w:p>
    <w:p w:rsidR="00C83C70" w:rsidRPr="00C83C70" w:rsidRDefault="00C83C70" w:rsidP="00C83C70">
      <w:pPr>
        <w:ind w:firstLine="708"/>
        <w:jc w:val="both"/>
        <w:rPr>
          <w:szCs w:val="28"/>
        </w:rPr>
      </w:pPr>
      <w:bookmarkStart w:id="4" w:name="sub_16"/>
      <w:bookmarkEnd w:id="3"/>
      <w:r w:rsidRPr="00214B7D">
        <w:rPr>
          <w:szCs w:val="28"/>
        </w:rPr>
        <w:t xml:space="preserve">2) в целях согласования решений о наличии потребности в остатках субсидии на иные цели и (или) субсидий на капитальные вложения муниципальных бюджетных и </w:t>
      </w:r>
      <w:r w:rsidRPr="00C83C70">
        <w:rPr>
          <w:szCs w:val="28"/>
        </w:rPr>
        <w:t>автономных учреждений с Финансовым управлением главный распорядитель бюджетных средств не позднее 15 марта текущего финансового года направляет в Финансовое управление сведения об операциях с целевыми субсидиями, предоставленными муниципальному бюджетному и автономному учреждению, по форме, установленной Финансовым управлением, с приложением проекта решения о наличии потребности в остатках субсидии на иные цели и (или) субсидий на капитальные вложения и пояснительной записки, содержащей обоснование такого решения, и информацию о документах,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субсидий на иные цели и (или) субсидий на капитальные вложения.</w:t>
      </w:r>
    </w:p>
    <w:p w:rsidR="00C83C70" w:rsidRPr="00C83C70" w:rsidRDefault="00C83C70" w:rsidP="00C83C70">
      <w:pPr>
        <w:ind w:firstLine="709"/>
        <w:jc w:val="both"/>
        <w:rPr>
          <w:szCs w:val="28"/>
        </w:rPr>
      </w:pPr>
      <w:bookmarkStart w:id="5" w:name="sub_31"/>
      <w:bookmarkEnd w:id="4"/>
      <w:r w:rsidRPr="00C83C70">
        <w:rPr>
          <w:szCs w:val="28"/>
        </w:rPr>
        <w:t>7. Управлению жилищно-коммунального хозяйства и благоустройства Администрации муниципального образования «Город Майкоп» обеспечить контроль за целевым и эффективным расходованием муниципальным казенн</w:t>
      </w:r>
      <w:r w:rsidR="00F73D8C">
        <w:rPr>
          <w:szCs w:val="28"/>
        </w:rPr>
        <w:t>ым учреждением «Благоустройство</w:t>
      </w:r>
      <w:r w:rsidRPr="00C83C70">
        <w:rPr>
          <w:szCs w:val="28"/>
        </w:rPr>
        <w:t xml:space="preserve"> муниципального образования «Город Майкоп» средств муниципального дорожного фонда.</w:t>
      </w:r>
    </w:p>
    <w:bookmarkEnd w:id="5"/>
    <w:p w:rsidR="00C83C70" w:rsidRPr="00214B7D" w:rsidRDefault="00C83C70" w:rsidP="00C83C70">
      <w:pPr>
        <w:ind w:firstLine="709"/>
        <w:jc w:val="both"/>
        <w:rPr>
          <w:szCs w:val="28"/>
        </w:rPr>
      </w:pPr>
      <w:r w:rsidRPr="00C83C70">
        <w:rPr>
          <w:szCs w:val="28"/>
        </w:rPr>
        <w:t>8. Отраслевым (функциональным) органам (подразделениям) Администрации муниципального образования «Город Майкоп</w:t>
      </w:r>
      <w:r w:rsidRPr="00214B7D">
        <w:rPr>
          <w:szCs w:val="28"/>
        </w:rPr>
        <w:t xml:space="preserve">», являющимся ответственными исполнителями муниципальных программ, обеспечить разработку проектов муниципальных нормативных правовых актов об изменениях соответствующих муниципальных программ с учетом </w:t>
      </w:r>
      <w:hyperlink r:id="rId14" w:history="1">
        <w:r w:rsidRPr="00214B7D">
          <w:rPr>
            <w:rStyle w:val="ac"/>
            <w:b w:val="0"/>
            <w:color w:val="auto"/>
            <w:szCs w:val="28"/>
          </w:rPr>
          <w:t>пункта 2 статьи 179</w:t>
        </w:r>
      </w:hyperlink>
      <w:r w:rsidRPr="00214B7D">
        <w:rPr>
          <w:szCs w:val="28"/>
        </w:rPr>
        <w:t xml:space="preserve"> Бюджетного кодекса Российской Федерации.</w:t>
      </w:r>
    </w:p>
    <w:p w:rsidR="00C83C70" w:rsidRPr="00214B7D" w:rsidRDefault="00C83C70" w:rsidP="00C83C70">
      <w:pPr>
        <w:ind w:firstLine="709"/>
        <w:jc w:val="both"/>
        <w:rPr>
          <w:szCs w:val="28"/>
        </w:rPr>
      </w:pPr>
      <w:r w:rsidRPr="00214B7D">
        <w:rPr>
          <w:szCs w:val="28"/>
        </w:rPr>
        <w:t>9. Главным распорядителям бюджетных средств:</w:t>
      </w:r>
    </w:p>
    <w:p w:rsidR="00C83C70" w:rsidRPr="00214B7D" w:rsidRDefault="00C83C70" w:rsidP="00C83C70">
      <w:pPr>
        <w:ind w:firstLine="708"/>
        <w:jc w:val="both"/>
        <w:rPr>
          <w:szCs w:val="28"/>
        </w:rPr>
      </w:pPr>
      <w:bookmarkStart w:id="6" w:name="sub_34"/>
      <w:r w:rsidRPr="00214B7D">
        <w:rPr>
          <w:szCs w:val="28"/>
        </w:rPr>
        <w:t xml:space="preserve">1) обеспечивать контроль за целевым использованием средств субсидий, поступивших из </w:t>
      </w:r>
      <w:r>
        <w:rPr>
          <w:szCs w:val="28"/>
        </w:rPr>
        <w:t xml:space="preserve">федерального бюджета и </w:t>
      </w:r>
      <w:r w:rsidRPr="00214B7D">
        <w:rPr>
          <w:szCs w:val="28"/>
        </w:rPr>
        <w:t>республиканского бюджет</w:t>
      </w:r>
      <w:r>
        <w:rPr>
          <w:szCs w:val="28"/>
        </w:rPr>
        <w:t>а Республики Адыгея</w:t>
      </w:r>
      <w:r w:rsidRPr="00214B7D">
        <w:rPr>
          <w:szCs w:val="28"/>
        </w:rPr>
        <w:t>:</w:t>
      </w:r>
    </w:p>
    <w:bookmarkEnd w:id="6"/>
    <w:p w:rsidR="00C83C70" w:rsidRPr="00214B7D" w:rsidRDefault="00C83C70" w:rsidP="00C83C70">
      <w:pPr>
        <w:ind w:firstLine="708"/>
        <w:jc w:val="both"/>
        <w:rPr>
          <w:szCs w:val="28"/>
        </w:rPr>
      </w:pPr>
      <w:r w:rsidRPr="00214B7D">
        <w:rPr>
          <w:szCs w:val="28"/>
        </w:rPr>
        <w:t>а) в соответствии с условиями заключенных соглашений о предоставлении субсидий;</w:t>
      </w:r>
    </w:p>
    <w:p w:rsidR="00C83C70" w:rsidRPr="00214B7D" w:rsidRDefault="00C83C70" w:rsidP="00C83C70">
      <w:pPr>
        <w:ind w:firstLine="708"/>
        <w:jc w:val="both"/>
        <w:rPr>
          <w:szCs w:val="28"/>
        </w:rPr>
      </w:pPr>
      <w:r w:rsidRPr="00214B7D">
        <w:rPr>
          <w:szCs w:val="28"/>
        </w:rPr>
        <w:t xml:space="preserve">б) на реализацию мероприятий муниципальных программ, источником финансового обеспечения которых являются средства  </w:t>
      </w:r>
      <w:r>
        <w:rPr>
          <w:szCs w:val="28"/>
        </w:rPr>
        <w:t xml:space="preserve">федерального бюджета и </w:t>
      </w:r>
      <w:r w:rsidRPr="00214B7D">
        <w:rPr>
          <w:szCs w:val="28"/>
        </w:rPr>
        <w:t>республиканского бюджет</w:t>
      </w:r>
      <w:r>
        <w:rPr>
          <w:szCs w:val="28"/>
        </w:rPr>
        <w:t>а Республики Адыгея</w:t>
      </w:r>
      <w:r w:rsidRPr="00214B7D">
        <w:rPr>
          <w:szCs w:val="28"/>
        </w:rPr>
        <w:t>;</w:t>
      </w:r>
    </w:p>
    <w:p w:rsidR="00C83C70" w:rsidRPr="00214B7D" w:rsidRDefault="00C83C70" w:rsidP="00C83C70">
      <w:pPr>
        <w:ind w:firstLine="708"/>
        <w:jc w:val="both"/>
        <w:rPr>
          <w:szCs w:val="28"/>
        </w:rPr>
      </w:pPr>
      <w:bookmarkStart w:id="7" w:name="sub_35"/>
      <w:r w:rsidRPr="00214B7D">
        <w:rPr>
          <w:szCs w:val="28"/>
        </w:rPr>
        <w:t xml:space="preserve">2) в трехмесячный срок со дня вступления в силу Решения Совета народных депутатов муниципального образования «Город Майкоп» о бюджете </w:t>
      </w:r>
      <w:r>
        <w:rPr>
          <w:szCs w:val="28"/>
        </w:rPr>
        <w:t xml:space="preserve">муниципального образования </w:t>
      </w:r>
      <w:r w:rsidRPr="00214B7D">
        <w:rPr>
          <w:szCs w:val="28"/>
        </w:rPr>
        <w:t xml:space="preserve">«Город Майкоп» на </w:t>
      </w:r>
      <w:r>
        <w:rPr>
          <w:szCs w:val="28"/>
        </w:rPr>
        <w:t>очередной финансовый</w:t>
      </w:r>
      <w:r w:rsidRPr="00214B7D">
        <w:rPr>
          <w:szCs w:val="28"/>
        </w:rPr>
        <w:t xml:space="preserve"> год и плановый период утвердить с учетом требований </w:t>
      </w:r>
      <w:hyperlink r:id="rId15" w:history="1">
        <w:r w:rsidRPr="00214B7D">
          <w:rPr>
            <w:rStyle w:val="ac"/>
            <w:b w:val="0"/>
            <w:color w:val="auto"/>
            <w:szCs w:val="28"/>
          </w:rPr>
          <w:t>статьи 78</w:t>
        </w:r>
      </w:hyperlink>
      <w:r w:rsidRPr="00214B7D">
        <w:rPr>
          <w:szCs w:val="28"/>
        </w:rPr>
        <w:t xml:space="preserve"> Бюджетного кодекса Российской Федерации нормативные правовые </w:t>
      </w:r>
      <w:r w:rsidRPr="00214B7D">
        <w:rPr>
          <w:szCs w:val="28"/>
        </w:rPr>
        <w:lastRenderedPageBreak/>
        <w:t xml:space="preserve">акты, регулирующие порядок предоставления из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случае наделения полномочиями по утверждению указанных нормативных правовых актов;</w:t>
      </w:r>
    </w:p>
    <w:p w:rsidR="00C83C70" w:rsidRPr="00214B7D" w:rsidRDefault="00C83C70" w:rsidP="00C83C70">
      <w:pPr>
        <w:ind w:firstLine="708"/>
        <w:jc w:val="both"/>
        <w:rPr>
          <w:szCs w:val="28"/>
        </w:rPr>
      </w:pPr>
      <w:bookmarkStart w:id="8" w:name="sub_36"/>
      <w:bookmarkEnd w:id="7"/>
      <w:r w:rsidRPr="00214B7D">
        <w:rPr>
          <w:szCs w:val="28"/>
        </w:rPr>
        <w:t>3) обеспечивать равномерное и эфф</w:t>
      </w:r>
      <w:r>
        <w:rPr>
          <w:szCs w:val="28"/>
        </w:rPr>
        <w:t>ективное использование средств местного</w:t>
      </w:r>
      <w:r w:rsidRPr="00214B7D">
        <w:rPr>
          <w:szCs w:val="28"/>
        </w:rPr>
        <w:t xml:space="preserve"> бюджета в течение финансового года; </w:t>
      </w:r>
    </w:p>
    <w:bookmarkEnd w:id="8"/>
    <w:p w:rsidR="00C83C70" w:rsidRPr="00214B7D" w:rsidRDefault="00C83C70" w:rsidP="00C83C70">
      <w:pPr>
        <w:ind w:firstLine="708"/>
        <w:jc w:val="both"/>
        <w:rPr>
          <w:szCs w:val="28"/>
        </w:rPr>
      </w:pPr>
      <w:r w:rsidRPr="00214B7D">
        <w:rPr>
          <w:szCs w:val="28"/>
        </w:rPr>
        <w:t xml:space="preserve">4) осуществляющим предоставление субсидий из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некоммерческим организациям, не являющимся государственными (муниципальными) учреждениями, обеспечить разработку нормативных правовых актов, регулирующих предоставление из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субсидий некоммерческим организациям, не являющимся государственными (муниципальными) учреждениями, в соответствии с </w:t>
      </w:r>
      <w:hyperlink r:id="rId16" w:history="1">
        <w:r w:rsidRPr="00214B7D">
          <w:rPr>
            <w:rStyle w:val="ac"/>
            <w:b w:val="0"/>
            <w:color w:val="auto"/>
            <w:szCs w:val="28"/>
          </w:rPr>
          <w:t>постановлением</w:t>
        </w:r>
      </w:hyperlink>
      <w:r w:rsidRPr="00214B7D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0</w:t>
      </w:r>
      <w:r w:rsidRPr="00214B7D">
        <w:rPr>
          <w:szCs w:val="28"/>
        </w:rPr>
        <w:t>7</w:t>
      </w:r>
      <w:r>
        <w:rPr>
          <w:szCs w:val="28"/>
        </w:rPr>
        <w:t>.05.</w:t>
      </w:r>
      <w:r w:rsidRPr="00214B7D">
        <w:rPr>
          <w:szCs w:val="28"/>
        </w:rPr>
        <w:t>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C83C70" w:rsidRPr="00214B7D" w:rsidRDefault="00C83C70" w:rsidP="00C83C70">
      <w:pPr>
        <w:ind w:firstLine="709"/>
        <w:jc w:val="both"/>
        <w:rPr>
          <w:szCs w:val="28"/>
        </w:rPr>
      </w:pPr>
      <w:r w:rsidRPr="00214B7D">
        <w:rPr>
          <w:szCs w:val="28"/>
        </w:rPr>
        <w:t xml:space="preserve">10. Главным администраторам доходов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бюджета:</w:t>
      </w:r>
    </w:p>
    <w:p w:rsidR="00C83C70" w:rsidRPr="00214B7D" w:rsidRDefault="00C83C70" w:rsidP="00C83C7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D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поступления налогов, сборов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14B7D">
        <w:rPr>
          <w:rFonts w:ascii="Times New Roman" w:hAnsi="Times New Roman" w:cs="Times New Roman"/>
          <w:sz w:val="28"/>
          <w:szCs w:val="28"/>
        </w:rPr>
        <w:t xml:space="preserve"> бюджет, а также по сокращению задолженности по их уплате и осуществлению мероприятий, препятствующих ее возникновению;</w:t>
      </w:r>
    </w:p>
    <w:p w:rsidR="00C83C70" w:rsidRPr="00C83C70" w:rsidRDefault="00C83C70" w:rsidP="00C83C7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D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7D">
        <w:rPr>
          <w:rFonts w:ascii="Times New Roman" w:hAnsi="Times New Roman" w:cs="Times New Roman"/>
          <w:sz w:val="28"/>
          <w:szCs w:val="28"/>
        </w:rPr>
        <w:t xml:space="preserve">в Финансовое управление прогноз кассовых поступлений по администрируемым видам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14B7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</w:t>
      </w:r>
      <w:r w:rsidRPr="00C83C70">
        <w:rPr>
          <w:rFonts w:ascii="Times New Roman" w:hAnsi="Times New Roman" w:cs="Times New Roman"/>
          <w:sz w:val="28"/>
          <w:szCs w:val="28"/>
        </w:rPr>
        <w:t xml:space="preserve">год в порядке и в сроки, определенные правовым актом Финансового управления;  </w:t>
      </w:r>
    </w:p>
    <w:p w:rsidR="00C83C70" w:rsidRPr="00214B7D" w:rsidRDefault="00C83C70" w:rsidP="00C83C7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D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Бюджетного кодекса Российской Федерации в части определения в нормативных правовых актах, договорах, в соответствии с которыми уплачиваются платежи, являющиеся источниками неналоговых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14B7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B7D">
        <w:rPr>
          <w:rFonts w:ascii="Times New Roman" w:hAnsi="Times New Roman" w:cs="Times New Roman"/>
          <w:sz w:val="28"/>
          <w:szCs w:val="28"/>
        </w:rPr>
        <w:t xml:space="preserve">, положений о порядке их исчисления, размерах, сроках и (или) об условиях их уплаты; </w:t>
      </w:r>
    </w:p>
    <w:p w:rsidR="00C83C70" w:rsidRPr="00214B7D" w:rsidRDefault="00C83C70" w:rsidP="00C83C70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7D">
        <w:rPr>
          <w:rFonts w:ascii="Times New Roman" w:hAnsi="Times New Roman" w:cs="Times New Roman"/>
          <w:sz w:val="28"/>
          <w:szCs w:val="28"/>
        </w:rPr>
        <w:t>своевременно исполнять бюджетные полномочия в соответствии со статьей 160.1 Бюджетного кодекса Российской Федерации, направляя в Финансовое управление:</w:t>
      </w:r>
    </w:p>
    <w:p w:rsidR="00C83C70" w:rsidRPr="00214B7D" w:rsidRDefault="00C83C70" w:rsidP="00C83C7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214B7D">
        <w:rPr>
          <w:szCs w:val="28"/>
        </w:rPr>
        <w:lastRenderedPageBreak/>
        <w:t xml:space="preserve">а) ежеквартально до 10-го числа месяца, следующего за отчетным кварталом, аналитический материал, характеризующий ход исполнения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бюджета, в части закрепленных источников доходов, с приложением объяснения причин отклонения фактических показателей от плановых и от показателей аналогичного периода предшествующего года, с указанием объема задолженности по администрируемым платежам с выделением основных неплательщиков</w:t>
      </w:r>
      <w:r>
        <w:rPr>
          <w:szCs w:val="28"/>
        </w:rPr>
        <w:t xml:space="preserve">, а также </w:t>
      </w:r>
      <w:r w:rsidRPr="00214B7D">
        <w:rPr>
          <w:szCs w:val="28"/>
        </w:rPr>
        <w:t>мероприятия, проведенные по ее снижению на отчетную дату;</w:t>
      </w:r>
    </w:p>
    <w:p w:rsidR="00C83C70" w:rsidRDefault="00C83C70" w:rsidP="00C83C7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214B7D">
        <w:rPr>
          <w:szCs w:val="28"/>
        </w:rPr>
        <w:t>б) ежемесячно, в срок до 7 числа месяца, следующего за истекшим</w:t>
      </w:r>
      <w:r>
        <w:rPr>
          <w:szCs w:val="28"/>
        </w:rPr>
        <w:t>:</w:t>
      </w:r>
    </w:p>
    <w:p w:rsidR="00C83C70" w:rsidRPr="00214B7D" w:rsidRDefault="00C83C70" w:rsidP="00C83C7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214B7D">
        <w:rPr>
          <w:szCs w:val="28"/>
        </w:rPr>
        <w:t xml:space="preserve"> - </w:t>
      </w:r>
      <w:r>
        <w:rPr>
          <w:szCs w:val="28"/>
        </w:rPr>
        <w:t>пояснительную</w:t>
      </w:r>
      <w:r w:rsidRPr="00214B7D">
        <w:rPr>
          <w:szCs w:val="28"/>
        </w:rPr>
        <w:t xml:space="preserve"> записку о причинах перевыполнения (более чем на 20%) и невыполнения утвержденных показателей в разрезе доходных источников с расшифровкой по крупным неплательщикам, и указанием конкретных мер, принимаемых по улучшению платежной дисциплины;</w:t>
      </w:r>
    </w:p>
    <w:p w:rsidR="00C83C70" w:rsidRPr="00214B7D" w:rsidRDefault="00C83C70" w:rsidP="00C83C7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4B7D">
        <w:rPr>
          <w:szCs w:val="28"/>
        </w:rPr>
        <w:t xml:space="preserve"> справку о перечислении поступлений в бюджеты по форме согласно приложению №20 (код по КФД 0531468) к Порядку учета Федеральным казначейством поступлений в бюджетную систему Российской Федерации и их распределении между бюджетами бюджетной системы Российской Федерации, утвержденному приказом Мин</w:t>
      </w:r>
      <w:r>
        <w:rPr>
          <w:szCs w:val="28"/>
        </w:rPr>
        <w:t>истерством финансов</w:t>
      </w:r>
      <w:r w:rsidRPr="00214B7D">
        <w:rPr>
          <w:szCs w:val="28"/>
        </w:rPr>
        <w:t xml:space="preserve"> Российской Федерации от 18.12.2013 №125н;</w:t>
      </w:r>
    </w:p>
    <w:p w:rsidR="00C83C70" w:rsidRPr="00214B7D" w:rsidRDefault="00C83C70" w:rsidP="00C83C70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14B7D">
        <w:rPr>
          <w:szCs w:val="28"/>
        </w:rPr>
        <w:t xml:space="preserve">) ежегодно информацию о наличии задолженности по обязательным платежам в </w:t>
      </w:r>
      <w:r>
        <w:rPr>
          <w:szCs w:val="28"/>
        </w:rPr>
        <w:t>местный</w:t>
      </w:r>
      <w:r w:rsidRPr="00214B7D">
        <w:rPr>
          <w:szCs w:val="28"/>
        </w:rPr>
        <w:t xml:space="preserve"> бюджет, в разрезе плательщиков, по состоянию на 1 января - не позднее 1 февраля</w:t>
      </w:r>
      <w:r>
        <w:rPr>
          <w:szCs w:val="28"/>
        </w:rPr>
        <w:t xml:space="preserve"> года, следующего за отчетным</w:t>
      </w:r>
      <w:r w:rsidRPr="00214B7D">
        <w:rPr>
          <w:szCs w:val="28"/>
        </w:rPr>
        <w:t>.</w:t>
      </w:r>
    </w:p>
    <w:p w:rsidR="00C83C70" w:rsidRPr="00214B7D" w:rsidRDefault="00C83C70" w:rsidP="00C83C70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  <w:shd w:val="clear" w:color="auto" w:fill="FFFFFF"/>
        </w:rPr>
      </w:pPr>
      <w:r w:rsidRPr="00214B7D">
        <w:rPr>
          <w:szCs w:val="28"/>
          <w:shd w:val="clear" w:color="auto" w:fill="FFFFFF"/>
        </w:rPr>
        <w:t xml:space="preserve">11. Комитету по экономике Администрации муниципального образования </w:t>
      </w:r>
      <w:r w:rsidRPr="00214B7D">
        <w:rPr>
          <w:szCs w:val="28"/>
        </w:rPr>
        <w:t xml:space="preserve">«Город Майкоп» </w:t>
      </w:r>
      <w:r w:rsidRPr="00214B7D">
        <w:rPr>
          <w:szCs w:val="28"/>
          <w:shd w:val="clear" w:color="auto" w:fill="FFFFFF"/>
        </w:rPr>
        <w:t xml:space="preserve">направлять в Финансовое управление: </w:t>
      </w:r>
    </w:p>
    <w:p w:rsidR="00C83C70" w:rsidRPr="00214B7D" w:rsidRDefault="00C83C70" w:rsidP="00C83C70">
      <w:pPr>
        <w:tabs>
          <w:tab w:val="left" w:pos="630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214B7D">
        <w:rPr>
          <w:szCs w:val="28"/>
          <w:shd w:val="clear" w:color="auto" w:fill="FFFFFF"/>
        </w:rPr>
        <w:t>1) до 28 числа месяца, следующего за отчетным кварталом, анализ фактического исполнения основных показателей прогноза социально- экономического развития муниципального образования «Город Майко</w:t>
      </w:r>
      <w:r>
        <w:rPr>
          <w:szCs w:val="28"/>
          <w:shd w:val="clear" w:color="auto" w:fill="FFFFFF"/>
        </w:rPr>
        <w:t>п»</w:t>
      </w:r>
      <w:r w:rsidRPr="00214B7D">
        <w:rPr>
          <w:szCs w:val="28"/>
          <w:shd w:val="clear" w:color="auto" w:fill="FFFFFF"/>
        </w:rPr>
        <w:t xml:space="preserve"> (оперативные данные);</w:t>
      </w:r>
    </w:p>
    <w:p w:rsidR="00C83C70" w:rsidRPr="00214B7D" w:rsidRDefault="00C83C70" w:rsidP="00C83C70">
      <w:pPr>
        <w:tabs>
          <w:tab w:val="left" w:pos="630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214B7D">
        <w:rPr>
          <w:szCs w:val="28"/>
          <w:shd w:val="clear" w:color="auto" w:fill="FFFFFF"/>
        </w:rPr>
        <w:t xml:space="preserve">2) не позднее 20 числа месяца, следующего за отчетным - экономический анализ ситуации на крупных промышленных предприятиях, для формирования </w:t>
      </w:r>
      <w:r>
        <w:rPr>
          <w:szCs w:val="28"/>
          <w:shd w:val="clear" w:color="auto" w:fill="FFFFFF"/>
        </w:rPr>
        <w:t>пояснительной</w:t>
      </w:r>
      <w:r w:rsidRPr="00214B7D">
        <w:rPr>
          <w:szCs w:val="28"/>
          <w:shd w:val="clear" w:color="auto" w:fill="FFFFFF"/>
        </w:rPr>
        <w:t xml:space="preserve"> записки к ежемесячному отчету об исполнении </w:t>
      </w:r>
      <w:r>
        <w:rPr>
          <w:szCs w:val="28"/>
          <w:shd w:val="clear" w:color="auto" w:fill="FFFFFF"/>
        </w:rPr>
        <w:t>местного</w:t>
      </w:r>
      <w:r w:rsidRPr="00214B7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бюджета </w:t>
      </w:r>
      <w:r w:rsidRPr="00214B7D">
        <w:rPr>
          <w:szCs w:val="28"/>
          <w:shd w:val="clear" w:color="auto" w:fill="FFFFFF"/>
        </w:rPr>
        <w:t>(оперативные данные).</w:t>
      </w:r>
    </w:p>
    <w:p w:rsidR="00C83C70" w:rsidRPr="00214B7D" w:rsidRDefault="00C83C70" w:rsidP="00C83C70">
      <w:pPr>
        <w:tabs>
          <w:tab w:val="left" w:pos="630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214B7D">
        <w:rPr>
          <w:szCs w:val="28"/>
        </w:rPr>
        <w:t>12. Рекомендовать Межрайонной инспекции Федеральной налоговой службы России № 1 по Республике Адыгея в целях обеспечения деятельности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</w:t>
      </w:r>
      <w:r>
        <w:rPr>
          <w:szCs w:val="28"/>
        </w:rPr>
        <w:t xml:space="preserve"> (далее – межведомственная комиссия)</w:t>
      </w:r>
      <w:r w:rsidRPr="00214B7D">
        <w:rPr>
          <w:szCs w:val="28"/>
        </w:rPr>
        <w:t xml:space="preserve"> и для формирования пояснительной записки к отчету об исполнении </w:t>
      </w:r>
      <w:r>
        <w:rPr>
          <w:szCs w:val="28"/>
        </w:rPr>
        <w:t>местного</w:t>
      </w:r>
      <w:r w:rsidRPr="00214B7D">
        <w:rPr>
          <w:szCs w:val="28"/>
        </w:rPr>
        <w:t xml:space="preserve"> бюджета </w:t>
      </w:r>
      <w:r w:rsidRPr="00214B7D">
        <w:rPr>
          <w:szCs w:val="28"/>
          <w:shd w:val="clear" w:color="auto" w:fill="FFFFFF"/>
        </w:rPr>
        <w:t>направлять в Финансовое управление:</w:t>
      </w:r>
    </w:p>
    <w:p w:rsidR="00C83C70" w:rsidRPr="00214B7D" w:rsidRDefault="00C83C70" w:rsidP="00C83C70">
      <w:pPr>
        <w:tabs>
          <w:tab w:val="left" w:pos="630"/>
          <w:tab w:val="left" w:pos="993"/>
        </w:tabs>
        <w:ind w:firstLine="709"/>
        <w:jc w:val="both"/>
        <w:rPr>
          <w:szCs w:val="28"/>
        </w:rPr>
      </w:pPr>
      <w:r w:rsidRPr="00214B7D">
        <w:rPr>
          <w:szCs w:val="28"/>
        </w:rPr>
        <w:t xml:space="preserve">1) информацию по недоимщикам, имеющим задолженность свыше 50 тыс. руб., без предприятий, находящихся в стадии конкурсного </w:t>
      </w:r>
      <w:r w:rsidRPr="00214B7D">
        <w:rPr>
          <w:szCs w:val="28"/>
        </w:rPr>
        <w:lastRenderedPageBreak/>
        <w:t xml:space="preserve">управления, в течение 10 дней по истечении отчетного месяца для работы межведомственной комиссии; </w:t>
      </w:r>
    </w:p>
    <w:p w:rsidR="00C83C70" w:rsidRPr="00214B7D" w:rsidRDefault="00C83C70" w:rsidP="00C83C70">
      <w:pPr>
        <w:pStyle w:val="a3"/>
        <w:tabs>
          <w:tab w:val="left" w:pos="1134"/>
        </w:tabs>
        <w:ind w:firstLine="709"/>
        <w:rPr>
          <w:szCs w:val="28"/>
        </w:rPr>
      </w:pPr>
      <w:r w:rsidRPr="00214B7D">
        <w:rPr>
          <w:szCs w:val="28"/>
        </w:rPr>
        <w:t xml:space="preserve">2) в срок до 15 числа месяца, следующего за отчетным кварталом: </w:t>
      </w:r>
    </w:p>
    <w:p w:rsidR="00C83C70" w:rsidRPr="00214B7D" w:rsidRDefault="00C83C70" w:rsidP="00C83C70">
      <w:pPr>
        <w:pStyle w:val="a3"/>
        <w:tabs>
          <w:tab w:val="left" w:pos="1134"/>
        </w:tabs>
        <w:ind w:firstLine="709"/>
        <w:rPr>
          <w:szCs w:val="28"/>
        </w:rPr>
      </w:pPr>
      <w:r w:rsidRPr="00214B7D">
        <w:rPr>
          <w:szCs w:val="28"/>
        </w:rPr>
        <w:t>- списки</w:t>
      </w:r>
      <w:r w:rsidRPr="00681DE1">
        <w:rPr>
          <w:szCs w:val="28"/>
        </w:rPr>
        <w:t xml:space="preserve"> </w:t>
      </w:r>
      <w:proofErr w:type="spellStart"/>
      <w:r w:rsidRPr="00214B7D">
        <w:rPr>
          <w:szCs w:val="28"/>
        </w:rPr>
        <w:t>бюджето</w:t>
      </w:r>
      <w:r>
        <w:rPr>
          <w:szCs w:val="28"/>
        </w:rPr>
        <w:t>образующих</w:t>
      </w:r>
      <w:proofErr w:type="spellEnd"/>
      <w:r w:rsidRPr="00214B7D">
        <w:rPr>
          <w:szCs w:val="28"/>
        </w:rPr>
        <w:t xml:space="preserve"> предприятий, являющихся основными налогоплательщиками, с указанием общей суммы уплаченных налогов в местный бюджет за отчетный период;</w:t>
      </w:r>
    </w:p>
    <w:p w:rsidR="00C83C70" w:rsidRPr="00214B7D" w:rsidRDefault="00C83C70" w:rsidP="00C83C70">
      <w:pPr>
        <w:tabs>
          <w:tab w:val="left" w:pos="1134"/>
        </w:tabs>
        <w:ind w:firstLine="709"/>
        <w:jc w:val="both"/>
        <w:rPr>
          <w:szCs w:val="28"/>
        </w:rPr>
      </w:pPr>
      <w:r w:rsidRPr="00214B7D">
        <w:rPr>
          <w:szCs w:val="28"/>
        </w:rPr>
        <w:t xml:space="preserve">- мероприятия, проводимые по снижению недоимки за истекший период, результаты </w:t>
      </w:r>
      <w:r>
        <w:rPr>
          <w:szCs w:val="28"/>
        </w:rPr>
        <w:t>реализации вышеуказанных мероприятий</w:t>
      </w:r>
      <w:r w:rsidRPr="00214B7D">
        <w:rPr>
          <w:szCs w:val="28"/>
        </w:rPr>
        <w:t>, список основных недоимщиков с указанием наиболее крупных сумм задолженности во все уровни бюджетов, в том числе в местный бюджет;</w:t>
      </w:r>
    </w:p>
    <w:p w:rsidR="00C83C70" w:rsidRPr="00214B7D" w:rsidRDefault="00C83C70" w:rsidP="00C83C7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14B7D">
        <w:rPr>
          <w:szCs w:val="28"/>
        </w:rPr>
        <w:t>ежеквартальную информацию о начисленных налогах, объеме поступления по ним с приложением подробной пояснительной записки, годовую информацию – в срок до 1 февраля</w:t>
      </w:r>
      <w:r>
        <w:rPr>
          <w:szCs w:val="28"/>
        </w:rPr>
        <w:t xml:space="preserve"> года,</w:t>
      </w:r>
      <w:r w:rsidRPr="00214B7D">
        <w:rPr>
          <w:szCs w:val="28"/>
        </w:rPr>
        <w:t xml:space="preserve"> следующего </w:t>
      </w:r>
      <w:r>
        <w:rPr>
          <w:szCs w:val="28"/>
        </w:rPr>
        <w:t>за отчетным</w:t>
      </w:r>
      <w:r w:rsidRPr="00214B7D">
        <w:rPr>
          <w:szCs w:val="28"/>
        </w:rPr>
        <w:t>.</w:t>
      </w:r>
    </w:p>
    <w:p w:rsidR="00C83C70" w:rsidRPr="00214B7D" w:rsidRDefault="00C83C70" w:rsidP="00C83C7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13. П</w:t>
      </w:r>
      <w:r w:rsidRPr="00214B7D">
        <w:rPr>
          <w:szCs w:val="28"/>
        </w:rPr>
        <w:t>остановление «О мерах по обеспечению исполнения бюджета муниципального образования «Город Майкоп»» вступает в силу со дня его п</w:t>
      </w:r>
      <w:r>
        <w:rPr>
          <w:szCs w:val="28"/>
        </w:rPr>
        <w:t>одписания</w:t>
      </w:r>
      <w:r w:rsidRPr="00214B7D">
        <w:rPr>
          <w:szCs w:val="28"/>
        </w:rPr>
        <w:t>.</w:t>
      </w:r>
    </w:p>
    <w:p w:rsidR="00C83C70" w:rsidRPr="00214B7D" w:rsidRDefault="00C83C70" w:rsidP="00C83C70">
      <w:pPr>
        <w:tabs>
          <w:tab w:val="left" w:pos="1134"/>
        </w:tabs>
        <w:ind w:firstLine="709"/>
        <w:jc w:val="both"/>
        <w:rPr>
          <w:szCs w:val="28"/>
        </w:rPr>
      </w:pPr>
    </w:p>
    <w:p w:rsidR="00C83C70" w:rsidRPr="00214B7D" w:rsidRDefault="00C83C70" w:rsidP="00C83C70">
      <w:pPr>
        <w:tabs>
          <w:tab w:val="left" w:pos="1134"/>
        </w:tabs>
        <w:jc w:val="both"/>
        <w:rPr>
          <w:szCs w:val="28"/>
        </w:rPr>
      </w:pPr>
    </w:p>
    <w:p w:rsidR="00BA76B4" w:rsidRPr="00214B7D" w:rsidRDefault="00BA76B4" w:rsidP="00C83C70">
      <w:pPr>
        <w:ind w:firstLine="709"/>
        <w:jc w:val="both"/>
        <w:rPr>
          <w:szCs w:val="28"/>
        </w:rPr>
      </w:pPr>
    </w:p>
    <w:p w:rsidR="00BA76B4" w:rsidRPr="00214B7D" w:rsidRDefault="00BA76B4" w:rsidP="00BA76B4">
      <w:pPr>
        <w:tabs>
          <w:tab w:val="left" w:pos="1134"/>
        </w:tabs>
        <w:jc w:val="both"/>
        <w:rPr>
          <w:szCs w:val="28"/>
        </w:rPr>
      </w:pPr>
    </w:p>
    <w:p w:rsidR="00BA76B4" w:rsidRPr="00214B7D" w:rsidRDefault="00BA76B4" w:rsidP="00BA76B4">
      <w:pPr>
        <w:tabs>
          <w:tab w:val="left" w:pos="1134"/>
        </w:tabs>
        <w:jc w:val="both"/>
        <w:rPr>
          <w:szCs w:val="28"/>
        </w:rPr>
      </w:pPr>
      <w:r w:rsidRPr="00214B7D">
        <w:rPr>
          <w:szCs w:val="28"/>
        </w:rPr>
        <w:t>Глава муниципального образования</w:t>
      </w:r>
    </w:p>
    <w:p w:rsidR="00BA76B4" w:rsidRPr="00214B7D" w:rsidRDefault="00BA76B4" w:rsidP="00BA76B4">
      <w:pPr>
        <w:pStyle w:val="21"/>
        <w:rPr>
          <w:szCs w:val="28"/>
        </w:rPr>
      </w:pPr>
      <w:r w:rsidRPr="00214B7D">
        <w:rPr>
          <w:szCs w:val="28"/>
        </w:rPr>
        <w:t>«Город Майкоп»</w:t>
      </w:r>
      <w:r w:rsidRPr="00214B7D">
        <w:rPr>
          <w:szCs w:val="28"/>
        </w:rPr>
        <w:tab/>
      </w:r>
      <w:r w:rsidRPr="00214B7D">
        <w:rPr>
          <w:szCs w:val="28"/>
        </w:rPr>
        <w:tab/>
      </w:r>
      <w:r w:rsidRPr="00214B7D">
        <w:rPr>
          <w:szCs w:val="28"/>
        </w:rPr>
        <w:tab/>
      </w:r>
      <w:r w:rsidRPr="00214B7D">
        <w:rPr>
          <w:szCs w:val="28"/>
        </w:rPr>
        <w:tab/>
      </w:r>
      <w:r w:rsidRPr="00214B7D">
        <w:rPr>
          <w:szCs w:val="28"/>
        </w:rPr>
        <w:tab/>
      </w:r>
      <w:r w:rsidRPr="00214B7D">
        <w:rPr>
          <w:szCs w:val="28"/>
        </w:rPr>
        <w:tab/>
      </w:r>
      <w:r w:rsidRPr="00214B7D">
        <w:rPr>
          <w:szCs w:val="28"/>
        </w:rPr>
        <w:tab/>
        <w:t xml:space="preserve">   </w:t>
      </w:r>
      <w:r w:rsidR="00903EF7">
        <w:rPr>
          <w:szCs w:val="28"/>
        </w:rPr>
        <w:t xml:space="preserve">    </w:t>
      </w:r>
      <w:r w:rsidRPr="00214B7D">
        <w:rPr>
          <w:szCs w:val="28"/>
        </w:rPr>
        <w:t xml:space="preserve">  </w:t>
      </w:r>
      <w:r w:rsidR="005001FC">
        <w:rPr>
          <w:szCs w:val="28"/>
        </w:rPr>
        <w:t xml:space="preserve">   </w:t>
      </w:r>
      <w:r w:rsidRPr="00214B7D">
        <w:rPr>
          <w:szCs w:val="28"/>
        </w:rPr>
        <w:t>А.Л. Гетманов</w:t>
      </w:r>
    </w:p>
    <w:bookmarkEnd w:id="1"/>
    <w:p w:rsidR="00BA76B4" w:rsidRPr="00214B7D" w:rsidRDefault="00BA76B4" w:rsidP="00BA76B4">
      <w:pPr>
        <w:jc w:val="both"/>
        <w:rPr>
          <w:szCs w:val="28"/>
        </w:rPr>
      </w:pPr>
    </w:p>
    <w:p w:rsidR="004B18B7" w:rsidRPr="00214B7D" w:rsidRDefault="004B18B7">
      <w:pPr>
        <w:jc w:val="center"/>
      </w:pPr>
    </w:p>
    <w:p w:rsidR="004B18B7" w:rsidRPr="00214B7D" w:rsidRDefault="004B18B7">
      <w:pPr>
        <w:jc w:val="center"/>
      </w:pPr>
    </w:p>
    <w:p w:rsidR="003314D6" w:rsidRPr="00214B7D" w:rsidRDefault="003314D6"/>
    <w:p w:rsidR="003314D6" w:rsidRPr="00214B7D" w:rsidRDefault="003314D6">
      <w:pPr>
        <w:jc w:val="center"/>
      </w:pPr>
    </w:p>
    <w:sectPr w:rsidR="003314D6" w:rsidRPr="00214B7D" w:rsidSect="00657E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50" w:rsidRDefault="005D1D50" w:rsidP="00657E91">
      <w:r>
        <w:separator/>
      </w:r>
    </w:p>
  </w:endnote>
  <w:endnote w:type="continuationSeparator" w:id="0">
    <w:p w:rsidR="005D1D50" w:rsidRDefault="005D1D5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50" w:rsidRDefault="005D1D50" w:rsidP="00657E91">
      <w:r>
        <w:separator/>
      </w:r>
    </w:p>
  </w:footnote>
  <w:footnote w:type="continuationSeparator" w:id="0">
    <w:p w:rsidR="005D1D50" w:rsidRDefault="005D1D5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074A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6045A"/>
    <w:rsid w:val="0009623F"/>
    <w:rsid w:val="000D02C5"/>
    <w:rsid w:val="000E2A64"/>
    <w:rsid w:val="001444BA"/>
    <w:rsid w:val="00214B7D"/>
    <w:rsid w:val="00217536"/>
    <w:rsid w:val="002443DE"/>
    <w:rsid w:val="002770E3"/>
    <w:rsid w:val="00285121"/>
    <w:rsid w:val="00307E91"/>
    <w:rsid w:val="003307CF"/>
    <w:rsid w:val="003314D6"/>
    <w:rsid w:val="003929CD"/>
    <w:rsid w:val="003D7D8F"/>
    <w:rsid w:val="003E7837"/>
    <w:rsid w:val="00447015"/>
    <w:rsid w:val="0048299A"/>
    <w:rsid w:val="004B18B7"/>
    <w:rsid w:val="005001FC"/>
    <w:rsid w:val="005D1D50"/>
    <w:rsid w:val="0060212A"/>
    <w:rsid w:val="00657E91"/>
    <w:rsid w:val="006D4E6E"/>
    <w:rsid w:val="006F5B20"/>
    <w:rsid w:val="00703EFE"/>
    <w:rsid w:val="007113F6"/>
    <w:rsid w:val="00732444"/>
    <w:rsid w:val="0077631F"/>
    <w:rsid w:val="00793A92"/>
    <w:rsid w:val="007C1AC6"/>
    <w:rsid w:val="007F5423"/>
    <w:rsid w:val="00822C81"/>
    <w:rsid w:val="008B74D7"/>
    <w:rsid w:val="008C26CC"/>
    <w:rsid w:val="008F590F"/>
    <w:rsid w:val="00903EF7"/>
    <w:rsid w:val="00907065"/>
    <w:rsid w:val="00982BC7"/>
    <w:rsid w:val="00990553"/>
    <w:rsid w:val="009D494E"/>
    <w:rsid w:val="00A85DAB"/>
    <w:rsid w:val="00AA15F9"/>
    <w:rsid w:val="00B843F1"/>
    <w:rsid w:val="00BA76B4"/>
    <w:rsid w:val="00C2469E"/>
    <w:rsid w:val="00C36977"/>
    <w:rsid w:val="00C83C70"/>
    <w:rsid w:val="00C950B0"/>
    <w:rsid w:val="00C962F8"/>
    <w:rsid w:val="00CC5827"/>
    <w:rsid w:val="00CE0BD7"/>
    <w:rsid w:val="00D123F9"/>
    <w:rsid w:val="00D24593"/>
    <w:rsid w:val="00D470CE"/>
    <w:rsid w:val="00D60EE0"/>
    <w:rsid w:val="00D85D82"/>
    <w:rsid w:val="00D87C21"/>
    <w:rsid w:val="00DA56D7"/>
    <w:rsid w:val="00DA6062"/>
    <w:rsid w:val="00DA77B8"/>
    <w:rsid w:val="00DB58CB"/>
    <w:rsid w:val="00DF2CD4"/>
    <w:rsid w:val="00E22E6B"/>
    <w:rsid w:val="00E43708"/>
    <w:rsid w:val="00EC796E"/>
    <w:rsid w:val="00EC7E1B"/>
    <w:rsid w:val="00EE2037"/>
    <w:rsid w:val="00EF04E1"/>
    <w:rsid w:val="00F73D8C"/>
    <w:rsid w:val="00F92DFC"/>
    <w:rsid w:val="00FE074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0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2012604.78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1571378.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823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8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65205.33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12012604.99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GoncharovaS</cp:lastModifiedBy>
  <cp:revision>2</cp:revision>
  <cp:lastPrinted>2018-03-28T09:45:00Z</cp:lastPrinted>
  <dcterms:created xsi:type="dcterms:W3CDTF">2018-03-29T05:46:00Z</dcterms:created>
  <dcterms:modified xsi:type="dcterms:W3CDTF">2018-03-29T05:46:00Z</dcterms:modified>
</cp:coreProperties>
</file>