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1649B0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31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632AA0" w:rsidRPr="00E30746">
        <w:rPr>
          <w:rFonts w:ascii="Times New Roman" w:hAnsi="Times New Roman"/>
          <w:b/>
          <w:color w:val="000000"/>
          <w:sz w:val="27"/>
          <w:szCs w:val="27"/>
        </w:rPr>
        <w:t>ок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тября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1649B0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ул. Крестьянской, 221/2, квартал 220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1649B0">
        <w:rPr>
          <w:rFonts w:ascii="Times New Roman" w:hAnsi="Times New Roman"/>
          <w:color w:val="000000"/>
          <w:sz w:val="27"/>
          <w:szCs w:val="27"/>
        </w:rPr>
        <w:t>2</w:t>
      </w:r>
      <w:r w:rsidR="00BC18A7">
        <w:rPr>
          <w:rFonts w:ascii="Times New Roman" w:hAnsi="Times New Roman"/>
          <w:color w:val="000000"/>
          <w:sz w:val="27"/>
          <w:szCs w:val="27"/>
        </w:rPr>
        <w:t>5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1649B0">
        <w:rPr>
          <w:rFonts w:ascii="Times New Roman" w:hAnsi="Times New Roman"/>
          <w:color w:val="000000"/>
          <w:sz w:val="27"/>
          <w:szCs w:val="27"/>
        </w:rPr>
        <w:t>1</w:t>
      </w:r>
      <w:r w:rsidR="00BC18A7">
        <w:rPr>
          <w:rFonts w:ascii="Times New Roman" w:hAnsi="Times New Roman"/>
          <w:color w:val="000000"/>
          <w:sz w:val="27"/>
          <w:szCs w:val="27"/>
        </w:rPr>
        <w:t>4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1649B0">
        <w:rPr>
          <w:rFonts w:ascii="Times New Roman" w:hAnsi="Times New Roman"/>
          <w:color w:val="000000"/>
          <w:sz w:val="27"/>
          <w:szCs w:val="27"/>
        </w:rPr>
        <w:t>31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10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9F3FEE">
        <w:rPr>
          <w:rFonts w:ascii="Times New Roman" w:hAnsi="Times New Roman"/>
          <w:color w:val="000000"/>
          <w:sz w:val="27"/>
          <w:szCs w:val="27"/>
        </w:rPr>
        <w:t>1</w:t>
      </w:r>
      <w:r w:rsidR="00BC18A7">
        <w:rPr>
          <w:rFonts w:ascii="Times New Roman" w:hAnsi="Times New Roman"/>
          <w:color w:val="000000"/>
          <w:sz w:val="27"/>
          <w:szCs w:val="27"/>
        </w:rPr>
        <w:t>3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30746" w:rsidRPr="00E30746">
        <w:rPr>
          <w:rFonts w:ascii="Times New Roman" w:hAnsi="Times New Roman"/>
          <w:b/>
          <w:color w:val="000000"/>
          <w:sz w:val="27"/>
          <w:szCs w:val="27"/>
        </w:rPr>
        <w:t>3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649B0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649B0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                        ул. Крестьянской, 221/2, квартал 220 г. Майкопа</w:t>
      </w:r>
      <w:r w:rsidRPr="001649B0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1649B0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BC18A7" w:rsidRPr="00BC18A7">
        <w:rPr>
          <w:rFonts w:ascii="Times New Roman" w:hAnsi="Times New Roman"/>
          <w:color w:val="000000"/>
          <w:sz w:val="27"/>
          <w:szCs w:val="27"/>
        </w:rPr>
        <w:t xml:space="preserve">для строительства двухэтажного производственного здания по ул. Крестьянской, 221/2, квартал 220 </w:t>
      </w:r>
      <w:bookmarkStart w:id="0" w:name="_GoBack"/>
      <w:bookmarkEnd w:id="0"/>
      <w:r w:rsidR="00BC18A7" w:rsidRPr="00BC18A7">
        <w:rPr>
          <w:rFonts w:ascii="Times New Roman" w:hAnsi="Times New Roman"/>
          <w:color w:val="000000"/>
          <w:sz w:val="27"/>
          <w:szCs w:val="27"/>
        </w:rPr>
        <w:t>г. Майкопа по границе земельных участков по ул. Краснооктябрьской, 32А, строение 1 и 34 г. Майкопа</w:t>
      </w:r>
      <w:r w:rsidRPr="001649B0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Педченко Алексея Ивановича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</w:t>
      </w:r>
      <w:r w:rsidR="00612D6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 М.Р. Ачмиз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1649B0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31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45" w:rsidRDefault="00592C45">
      <w:pPr>
        <w:spacing w:line="240" w:lineRule="auto"/>
      </w:pPr>
      <w:r>
        <w:separator/>
      </w:r>
    </w:p>
  </w:endnote>
  <w:endnote w:type="continuationSeparator" w:id="0">
    <w:p w:rsidR="00592C45" w:rsidRDefault="0059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45" w:rsidRDefault="00592C45">
      <w:pPr>
        <w:spacing w:after="0" w:line="240" w:lineRule="auto"/>
      </w:pPr>
      <w:r>
        <w:separator/>
      </w:r>
    </w:p>
  </w:footnote>
  <w:footnote w:type="continuationSeparator" w:id="0">
    <w:p w:rsidR="00592C45" w:rsidRDefault="00592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2C45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8A7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A5B3A-0E79-499E-9910-294B71AB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355</cp:revision>
  <cp:lastPrinted>2025-10-03T11:39:00Z</cp:lastPrinted>
  <dcterms:created xsi:type="dcterms:W3CDTF">2022-05-26T14:02:00Z</dcterms:created>
  <dcterms:modified xsi:type="dcterms:W3CDTF">2025-10-24T13:59:00Z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