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C9" w:rsidRDefault="00947CC9">
      <w:pPr>
        <w:spacing w:after="54" w:line="240" w:lineRule="auto"/>
        <w:ind w:left="0" w:firstLine="0"/>
        <w:jc w:val="center"/>
      </w:pPr>
    </w:p>
    <w:p w:rsidR="00947CC9" w:rsidRDefault="00323361" w:rsidP="00323361">
      <w:pPr>
        <w:spacing w:after="0"/>
        <w:ind w:left="38" w:firstLine="708"/>
      </w:pPr>
      <w:r>
        <w:t xml:space="preserve">В целях содействия реализации Федерального закона от 13.07.2020  № 189-ФЗ «О государственном (муниципальном) социальном заказе на оказание </w:t>
      </w:r>
      <w:r>
        <w:t xml:space="preserve">государственных </w:t>
      </w:r>
      <w:r>
        <w:tab/>
        <w:t xml:space="preserve">(муниципальных) </w:t>
      </w:r>
      <w:r>
        <w:tab/>
        <w:t xml:space="preserve">услуг </w:t>
      </w:r>
      <w:r>
        <w:tab/>
        <w:t xml:space="preserve">в </w:t>
      </w:r>
      <w:r>
        <w:tab/>
        <w:t xml:space="preserve">социальной </w:t>
      </w:r>
      <w:r>
        <w:t xml:space="preserve">сфере»  </w:t>
      </w:r>
      <w:r>
        <w:t>(далее – Федеральный закон № 189-ФЗ) посредством во</w:t>
      </w:r>
      <w:r>
        <w:t>влечения в оказание государственных (муниципальных) услуг в социальной сфере негосударственных организаций Фондом региональных социальных программ «Наше Будущее»  (далее – Фонд «Наше будущее») при методологической поддержке Министерства финансов Российской</w:t>
      </w:r>
      <w:r>
        <w:t xml:space="preserve"> Федерации проводится </w:t>
      </w:r>
      <w:bookmarkStart w:id="0" w:name="_GoBack"/>
      <w:r>
        <w:rPr>
          <w:b/>
        </w:rPr>
        <w:t>образовательная онлайн-программа «Аксель.Соцзаказ»</w:t>
      </w:r>
      <w:bookmarkEnd w:id="0"/>
      <w:r>
        <w:t xml:space="preserve"> (далее – Акселератор), реализуемая за счет средств Фонда.  </w:t>
      </w:r>
    </w:p>
    <w:p w:rsidR="00947CC9" w:rsidRDefault="00323361">
      <w:pPr>
        <w:spacing w:after="85" w:line="240" w:lineRule="auto"/>
        <w:ind w:left="761" w:firstLine="0"/>
        <w:jc w:val="left"/>
      </w:pPr>
      <w:r>
        <w:t xml:space="preserve">В 2024 году к </w:t>
      </w:r>
      <w:r>
        <w:rPr>
          <w:b/>
        </w:rPr>
        <w:t>задачам проведения программы</w:t>
      </w:r>
      <w:r>
        <w:t xml:space="preserve"> отнесены:  </w:t>
      </w:r>
    </w:p>
    <w:p w:rsidR="00947CC9" w:rsidRDefault="00323361">
      <w:pPr>
        <w:spacing w:after="87" w:line="236" w:lineRule="auto"/>
        <w:ind w:left="10" w:right="-15"/>
        <w:jc w:val="center"/>
      </w:pPr>
      <w:r>
        <w:t xml:space="preserve">повышение </w:t>
      </w:r>
      <w:r>
        <w:tab/>
        <w:t xml:space="preserve">осведомленности </w:t>
      </w:r>
      <w:r>
        <w:tab/>
        <w:t xml:space="preserve">о </w:t>
      </w:r>
      <w:r>
        <w:tab/>
        <w:t xml:space="preserve">механизме </w:t>
      </w:r>
      <w:r>
        <w:tab/>
        <w:t xml:space="preserve">государственного </w:t>
      </w:r>
    </w:p>
    <w:p w:rsidR="00947CC9" w:rsidRDefault="00323361">
      <w:r>
        <w:t>(муницип</w:t>
      </w:r>
      <w:r>
        <w:t>ального) социального заказа (далее – социальный заказ); обучение негосударственных исполнителей услуг, информирование</w:t>
      </w:r>
      <w:r>
        <w:rPr>
          <w:sz w:val="24"/>
        </w:rPr>
        <w:t xml:space="preserve"> </w:t>
      </w:r>
      <w:r>
        <w:t>представителей органов государственной власти субъектов Российской Федерации (органов местного самоуправления) и государственных (муниципа</w:t>
      </w:r>
      <w:r>
        <w:t xml:space="preserve">льных) учреждений; ознакомление с лучшими региональными и муниципальными практиками </w:t>
      </w:r>
    </w:p>
    <w:p w:rsidR="00947CC9" w:rsidRDefault="00323361">
      <w:pPr>
        <w:spacing w:after="88" w:line="257" w:lineRule="auto"/>
        <w:ind w:left="756" w:right="1529" w:hanging="718"/>
        <w:jc w:val="left"/>
      </w:pPr>
      <w:r>
        <w:t xml:space="preserve">применения социального заказа; создание условий для роста устойчивости участников соцзаказа. </w:t>
      </w:r>
      <w:r>
        <w:rPr>
          <w:b/>
        </w:rPr>
        <w:t xml:space="preserve">Материал сформирован </w:t>
      </w:r>
      <w:r>
        <w:rPr>
          <w:b/>
        </w:rPr>
        <w:t>д</w:t>
      </w:r>
      <w:r>
        <w:rPr>
          <w:b/>
        </w:rPr>
        <w:t>ля участников двух целевых групп</w:t>
      </w:r>
      <w:r>
        <w:rPr>
          <w:i/>
        </w:rPr>
        <w:t xml:space="preserve">: </w:t>
      </w:r>
    </w:p>
    <w:p w:rsidR="00947CC9" w:rsidRDefault="00323361">
      <w:pPr>
        <w:numPr>
          <w:ilvl w:val="0"/>
          <w:numId w:val="1"/>
        </w:numPr>
        <w:spacing w:after="87" w:line="236" w:lineRule="auto"/>
        <w:ind w:firstLine="708"/>
        <w:jc w:val="center"/>
      </w:pPr>
      <w:r>
        <w:t>действующие предприни</w:t>
      </w:r>
      <w:r>
        <w:t xml:space="preserve">матели и представители некоммерческого сектора </w:t>
      </w:r>
    </w:p>
    <w:p w:rsidR="00947CC9" w:rsidRDefault="00323361">
      <w:r>
        <w:t xml:space="preserve">(потенциальные исполнители социального заказа); </w:t>
      </w:r>
    </w:p>
    <w:p w:rsidR="00947CC9" w:rsidRDefault="00323361">
      <w:pPr>
        <w:numPr>
          <w:ilvl w:val="0"/>
          <w:numId w:val="1"/>
        </w:numPr>
        <w:spacing w:after="0"/>
        <w:ind w:firstLine="708"/>
        <w:jc w:val="center"/>
      </w:pPr>
      <w:r>
        <w:t>представители государственных (муниципальных) учреждений, органов государственной власти субъектов Российской Федерации, органов местного самоуправления, на территории которых уже реализуется Федеральный закон           № 189-ФЗ или планируется его реализа</w:t>
      </w:r>
      <w:r>
        <w:t xml:space="preserve">ция.  </w:t>
      </w:r>
    </w:p>
    <w:p w:rsidR="00947CC9" w:rsidRDefault="00947CC9">
      <w:pPr>
        <w:spacing w:after="57" w:line="240" w:lineRule="auto"/>
        <w:ind w:left="53" w:firstLine="0"/>
        <w:jc w:val="left"/>
      </w:pPr>
    </w:p>
    <w:p w:rsidR="00947CC9" w:rsidRDefault="00323361">
      <w:pPr>
        <w:ind w:left="38" w:firstLine="708"/>
      </w:pPr>
      <w:r>
        <w:rPr>
          <w:b/>
        </w:rPr>
        <w:t>Реализация программы</w:t>
      </w:r>
      <w:r>
        <w:t xml:space="preserve"> запланирована в несколько этапов, предполагающих рассмотрение общих вопросов применения Федерального закона № 189-ФЗ  и отраслевых особенностей. </w:t>
      </w:r>
    </w:p>
    <w:p w:rsidR="00947CC9" w:rsidRDefault="00323361">
      <w:pPr>
        <w:ind w:left="771"/>
      </w:pPr>
      <w:r>
        <w:t xml:space="preserve">Участники заключительного этапа, действующие в субъектах Российской </w:t>
      </w:r>
    </w:p>
    <w:p w:rsidR="00947CC9" w:rsidRDefault="00323361">
      <w:r>
        <w:t>Федераци</w:t>
      </w:r>
      <w:r>
        <w:t xml:space="preserve">и, реализующих социальный заказ, имеют преимущества.  </w:t>
      </w:r>
    </w:p>
    <w:p w:rsidR="00947CC9" w:rsidRDefault="00323361">
      <w:r>
        <w:t>На заключительном этапе предполагается вовлечение в образовательный процесс региональных экспертов по отраслям реализации социального заказа в субъекте Российской Федерации (муниципальном образовании).</w:t>
      </w:r>
      <w:r>
        <w:t xml:space="preserve"> </w:t>
      </w:r>
    </w:p>
    <w:p w:rsidR="00947CC9" w:rsidRDefault="00323361">
      <w:pPr>
        <w:ind w:left="771"/>
      </w:pPr>
      <w:r>
        <w:t xml:space="preserve">Срок начала приема заявок на участие в Акселераторе – 1 августа 2024 г. </w:t>
      </w:r>
    </w:p>
    <w:p w:rsidR="00947CC9" w:rsidRDefault="00323361">
      <w:pPr>
        <w:ind w:left="771"/>
      </w:pPr>
      <w:r>
        <w:t xml:space="preserve">Прием заявок реализуется на сайте программы: </w:t>
      </w:r>
      <w:hyperlink r:id="rId5">
        <w:r>
          <w:rPr>
            <w:color w:val="0563C1"/>
            <w:u w:val="single" w:color="0563C1"/>
          </w:rPr>
          <w:t>https://www.fnb-aksel.ru/</w:t>
        </w:r>
      </w:hyperlink>
      <w:hyperlink r:id="rId6">
        <w:r>
          <w:t>.</w:t>
        </w:r>
      </w:hyperlink>
      <w:r>
        <w:t xml:space="preserve"> </w:t>
      </w:r>
    </w:p>
    <w:p w:rsidR="00947CC9" w:rsidRDefault="00323361">
      <w:pPr>
        <w:ind w:left="38" w:firstLine="708"/>
      </w:pPr>
      <w:r>
        <w:t>Учитывая изложенное, просим во взаимодействии с определенными  в регионах «площадками для диалога» (региональными общественными палатами, региональными отделениями общероссийской общественной организации малого  и среднего предпринимательства «ОПОРА РОССИИ</w:t>
      </w:r>
      <w:r>
        <w:t xml:space="preserve">» и иными организациями), </w:t>
      </w:r>
      <w:r>
        <w:lastRenderedPageBreak/>
        <w:t>органами местного самоуправления довести информацию об Акселераторе  до сведения заинтересованных представителей органов государственной власти, органов местного самоуправления, социальных предприятий и некоммерческих организаций,</w:t>
      </w:r>
      <w:r>
        <w:t xml:space="preserve"> в том числе с использованием региональных средств массовой информации, социальных сетей органов государственной власти субъектов Российской Федерации. </w:t>
      </w:r>
    </w:p>
    <w:p w:rsidR="00947CC9" w:rsidRDefault="00323361">
      <w:pPr>
        <w:spacing w:line="240" w:lineRule="auto"/>
        <w:ind w:left="761" w:firstLine="0"/>
        <w:jc w:val="left"/>
      </w:pPr>
      <w:r>
        <w:t xml:space="preserve"> </w:t>
      </w:r>
    </w:p>
    <w:p w:rsidR="00947CC9" w:rsidRDefault="00323361">
      <w:pPr>
        <w:spacing w:after="88" w:line="240" w:lineRule="auto"/>
        <w:ind w:left="761" w:right="2086" w:firstLine="0"/>
        <w:jc w:val="left"/>
      </w:pPr>
      <w:r>
        <w:t xml:space="preserve"> </w:t>
      </w:r>
    </w:p>
    <w:p w:rsidR="00947CC9" w:rsidRDefault="00323361">
      <w:pPr>
        <w:spacing w:after="88" w:line="240" w:lineRule="auto"/>
        <w:ind w:left="761" w:right="2086" w:firstLine="0"/>
        <w:jc w:val="left"/>
      </w:pPr>
      <w:r>
        <w:t xml:space="preserve"> </w:t>
      </w:r>
    </w:p>
    <w:p w:rsidR="00947CC9" w:rsidRDefault="00323361">
      <w:pPr>
        <w:spacing w:after="215" w:line="240" w:lineRule="auto"/>
        <w:ind w:left="3626" w:firstLine="0"/>
        <w:jc w:val="right"/>
      </w:pPr>
      <w:r>
        <w:t xml:space="preserve">А.М. Лавров </w:t>
      </w:r>
    </w:p>
    <w:p w:rsidR="00947CC9" w:rsidRDefault="00323361">
      <w:pPr>
        <w:spacing w:after="217" w:line="240" w:lineRule="auto"/>
        <w:ind w:left="0" w:firstLine="0"/>
        <w:jc w:val="right"/>
      </w:pPr>
      <w:r>
        <w:t xml:space="preserve"> </w:t>
      </w:r>
    </w:p>
    <w:p w:rsidR="00947CC9" w:rsidRDefault="00323361">
      <w:pPr>
        <w:spacing w:after="216" w:line="240" w:lineRule="auto"/>
        <w:ind w:left="0" w:firstLine="0"/>
        <w:jc w:val="right"/>
      </w:pPr>
      <w:r>
        <w:t xml:space="preserve"> </w:t>
      </w:r>
    </w:p>
    <w:p w:rsidR="00947CC9" w:rsidRDefault="00323361" w:rsidP="00323361">
      <w:pPr>
        <w:spacing w:after="215" w:line="240" w:lineRule="auto"/>
        <w:ind w:left="53" w:firstLine="0"/>
        <w:jc w:val="left"/>
      </w:pPr>
      <w:r>
        <w:t xml:space="preserve"> </w:t>
      </w:r>
    </w:p>
    <w:p w:rsidR="00947CC9" w:rsidRDefault="00323361">
      <w:pPr>
        <w:spacing w:after="37" w:line="240" w:lineRule="auto"/>
        <w:ind w:right="-15"/>
        <w:jc w:val="left"/>
      </w:pPr>
      <w:r>
        <w:rPr>
          <w:sz w:val="20"/>
        </w:rPr>
        <w:t>Г</w:t>
      </w:r>
      <w:r>
        <w:rPr>
          <w:sz w:val="20"/>
        </w:rPr>
        <w:t xml:space="preserve">орбач Эвелина Викторовна </w:t>
      </w:r>
    </w:p>
    <w:p w:rsidR="00947CC9" w:rsidRDefault="00323361">
      <w:pPr>
        <w:spacing w:after="37" w:line="240" w:lineRule="auto"/>
        <w:ind w:right="-15"/>
        <w:jc w:val="left"/>
      </w:pPr>
      <w:r>
        <w:rPr>
          <w:sz w:val="20"/>
        </w:rPr>
        <w:t xml:space="preserve">8 495 983 38 88 доб. 0251 </w:t>
      </w:r>
    </w:p>
    <w:p w:rsidR="00947CC9" w:rsidRDefault="00323361">
      <w:pPr>
        <w:spacing w:after="37" w:line="240" w:lineRule="auto"/>
        <w:ind w:right="-15"/>
        <w:jc w:val="left"/>
      </w:pPr>
      <w:r>
        <w:rPr>
          <w:sz w:val="20"/>
        </w:rPr>
        <w:t xml:space="preserve">Evelina.Gorbach@minfin.gov.ru </w:t>
      </w:r>
    </w:p>
    <w:p w:rsidR="00947CC9" w:rsidRDefault="00947CC9" w:rsidP="00323361">
      <w:pPr>
        <w:spacing w:after="0" w:line="240" w:lineRule="auto"/>
        <w:ind w:left="360" w:right="-15" w:firstLine="0"/>
        <w:jc w:val="left"/>
      </w:pPr>
    </w:p>
    <w:sectPr w:rsidR="00947CC9">
      <w:pgSz w:w="11906" w:h="16838"/>
      <w:pgMar w:top="778" w:right="636" w:bottom="71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3F2E"/>
    <w:multiLevelType w:val="hybridMultilevel"/>
    <w:tmpl w:val="FFEED40C"/>
    <w:lvl w:ilvl="0" w:tplc="7A660504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47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A96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0C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EFD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23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47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88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8F9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262513"/>
    <w:multiLevelType w:val="hybridMultilevel"/>
    <w:tmpl w:val="1BAAC8B0"/>
    <w:lvl w:ilvl="0" w:tplc="AA481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AA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A5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C5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212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62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A2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67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C8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BF25BE"/>
    <w:multiLevelType w:val="hybridMultilevel"/>
    <w:tmpl w:val="55C85106"/>
    <w:lvl w:ilvl="0" w:tplc="EBC6B87E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FAEA0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8FA3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A7A5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E0F5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2169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080D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8BC6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650D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C9"/>
    <w:rsid w:val="00323361"/>
    <w:rsid w:val="009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FC55-06F0-49B9-9B4B-4C8F50E7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6" w:line="249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b-aksel.ru/" TargetMode="External"/><Relationship Id="rId5" Type="http://schemas.openxmlformats.org/officeDocument/2006/relationships/hyperlink" Target="https://www.fnb-aks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Насып Басам</dc:creator>
  <cp:keywords/>
  <cp:lastModifiedBy>Сташ Насып Басам</cp:lastModifiedBy>
  <cp:revision>2</cp:revision>
  <dcterms:created xsi:type="dcterms:W3CDTF">2024-08-13T06:27:00Z</dcterms:created>
  <dcterms:modified xsi:type="dcterms:W3CDTF">2024-08-13T06:27:00Z</dcterms:modified>
</cp:coreProperties>
</file>