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ходе реализации муниципальной программы «Управление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/>
          <w:sz w:val="28"/>
          <w:szCs w:val="28"/>
        </w:rPr>
        <w:t xml:space="preserve">финансами»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муниципального образования «Город Майкоп»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358</w:t>
      </w:r>
      <w:r>
        <w:rPr>
          <w:rFonts w:ascii="Times New Roman" w:hAnsi="Times New Roman"/>
          <w:sz w:val="28"/>
          <w:szCs w:val="28"/>
        </w:rPr>
        <w:t xml:space="preserve"> (в редакции постановлений Администрации муниципального образования «Город Майкоп» от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.03.20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167</w:t>
      </w:r>
      <w:r>
        <w:rPr>
          <w:rFonts w:ascii="Times New Roman" w:hAnsi="Times New Roman"/>
          <w:sz w:val="28"/>
          <w:szCs w:val="28"/>
        </w:rPr>
        <w:t xml:space="preserve">, 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592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09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807</w:t>
      </w:r>
      <w:r>
        <w:rPr>
          <w:rFonts w:ascii="Times New Roman" w:hAnsi="Times New Roman"/>
          <w:sz w:val="28"/>
          <w:szCs w:val="28"/>
        </w:rPr>
        <w:t xml:space="preserve">, 20.02.2023 № 131, 21.08.2023 № 729, 22.11.2023 № 1011</w:t>
      </w:r>
      <w:r>
        <w:rPr>
          <w:rFonts w:ascii="Times New Roman" w:hAnsi="Times New Roman"/>
          <w:sz w:val="28"/>
          <w:szCs w:val="28"/>
        </w:rPr>
        <w:t xml:space="preserve">, 25.01.2024 № 41,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13.08.2024 № 689, 31.10.2024 № 922, 22.11.2024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1012,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13.12.2024 № 1065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тветственны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ь:</w:t>
      </w:r>
      <w:r>
        <w:rPr>
          <w:rFonts w:ascii="Times New Roman" w:hAnsi="Times New Roman"/>
          <w:sz w:val="28"/>
          <w:szCs w:val="28"/>
          <w:lang w:eastAsia="ru-RU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lang w:eastAsia="ru-RU"/>
        </w:rPr>
        <w:t xml:space="preserve">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«Город Майкоп» (далее - Финансовое управление)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97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Отчетный год: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97"/>
        <w:jc w:val="both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составления отчета: </w:t>
      </w:r>
      <w:r>
        <w:rPr>
          <w:rFonts w:ascii="Times New Roman" w:hAnsi="Times New Roman"/>
          <w:sz w:val="28"/>
          <w:szCs w:val="28"/>
          <w:lang w:eastAsia="ru-RU"/>
        </w:rPr>
        <w:t xml:space="preserve">февраль 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97"/>
        <w:jc w:val="both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«Управление муниципальными финансами» (далее - муниципальная </w:t>
      </w:r>
      <w:r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  <w:lang w:eastAsia="ar-SA"/>
        </w:rPr>
        <w:t xml:space="preserve">охватывает</w:t>
      </w:r>
      <w:r>
        <w:rPr>
          <w:rFonts w:ascii="Times New Roman" w:hAnsi="Times New Roman"/>
          <w:sz w:val="28"/>
          <w:szCs w:val="28"/>
          <w:lang w:eastAsia="ar-SA"/>
        </w:rPr>
        <w:t xml:space="preserve"> значительную часть деятельности Финансового управления и направлена на обеспечение долгосрочной сбалансированности и </w:t>
      </w:r>
      <w:r>
        <w:rPr>
          <w:rFonts w:ascii="Times New Roman" w:hAnsi="Times New Roman"/>
          <w:sz w:val="28"/>
          <w:szCs w:val="28"/>
          <w:lang w:eastAsia="ar-SA"/>
        </w:rPr>
        <w:t xml:space="preserve">финансовой устойчивости</w:t>
      </w:r>
      <w:r>
        <w:rPr>
          <w:rFonts w:ascii="Times New Roman" w:hAnsi="Times New Roman"/>
          <w:sz w:val="28"/>
          <w:szCs w:val="28"/>
          <w:lang w:eastAsia="ar-SA"/>
        </w:rPr>
        <w:t xml:space="preserve"> бюджетной системы в муниципальном образовании «Город Майкоп» посредством эффективного управления муниципальными финансами и реализации политики в финансовой, бюджетной и налоговой сфере. 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рограмма имеет существенные отличия от большинства других муниципальных программ муниципального образования «Город Майкоп», так как не связана непосредственно с оказанием муниципальных услуг.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включает две подпрограммы: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 долгом;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 деятельности Финансового управления по организации и осуществлению бюджетного процесса в муниципальном образовании «Город Майкоп»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проведены мероприятия, способствующие достижению следующих задач: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Создание условий, способствующих повышению уровня долговой устойчивости бюджета муниципального образования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Создание условий для эффективной организации осуществления бюджетного процесса в муниципальном образовании «Город Майкоп».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7"/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Бюджетные ассигнования на реализацию программы выделены только за счет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средств местного бюджета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Аналитическая</w:t>
      </w:r>
      <w:r>
        <w:rPr>
          <w:rFonts w:ascii="Times New Roman" w:hAnsi="Times New Roman"/>
          <w:sz w:val="28"/>
          <w:szCs w:val="28"/>
        </w:rPr>
        <w:t xml:space="preserve"> информация о выполнении мероприятий муниципальной программы, направленных на выполнение стратегических задач</w:t>
      </w:r>
      <w:r>
        <w:rPr>
          <w:rFonts w:ascii="Times New Roman" w:hAnsi="Times New Roman"/>
          <w:sz w:val="28"/>
          <w:szCs w:val="28"/>
        </w:rPr>
        <w:t xml:space="preserve">, правовых актов и решений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Стратегическая цель реализации муниципальной программы – эффективное управление муниципальными финансами. Для достижения стратегической цели выполнены следующие стратегические задачи: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 сбалансированности и устойчивости бюджета муниципального образования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Обеспечение эффективного управления муниципальным долгом.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Повышение уровня бюджетной обеспеченности бюджета муниципального образования «Город Майкоп» и уменьшение зависимости местного бюджета от других уровней бюджетов.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Создание условий для эффективного управления муниципальными финансами.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Привлечение, развитие и удержание лучших кадров в сфере финансов.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муниципальной программы является повышение качества управления муниципальными финансами муниципального образования «Город Майкоп» и соблюдение требований бюджетного законодательства Российской Федерации. 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данной цели осуществля</w:t>
      </w:r>
      <w:r>
        <w:rPr>
          <w:rFonts w:ascii="Times New Roman" w:hAnsi="Times New Roman"/>
          <w:sz w:val="28"/>
          <w:szCs w:val="28"/>
        </w:rPr>
        <w:t xml:space="preserve">лось</w:t>
      </w:r>
      <w:r>
        <w:rPr>
          <w:rFonts w:ascii="Times New Roman" w:hAnsi="Times New Roman"/>
          <w:sz w:val="28"/>
          <w:szCs w:val="28"/>
        </w:rPr>
        <w:t xml:space="preserve"> посредством решения следующих задач: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Создание условий, способствующих повышению уровня долговой устойчивости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Город Майкоп».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исполнения бюджета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объем муниципального долга муниципального образования «Город Майкоп» по состоянию на 1 января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 xml:space="preserve">923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876,5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,7</w:t>
      </w:r>
      <w:r>
        <w:rPr>
          <w:rFonts w:ascii="Times New Roman" w:hAnsi="Times New Roman"/>
          <w:sz w:val="28"/>
          <w:szCs w:val="28"/>
        </w:rPr>
        <w:t xml:space="preserve">%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суммы доходов местного бюджета без учета безвозмездных поступлений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на 13%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ниже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сравнению с 2023 годом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Сложивший</w:t>
      </w:r>
      <w:r>
        <w:rPr>
          <w:rFonts w:ascii="Times New Roman" w:hAnsi="Times New Roman"/>
          <w:sz w:val="28"/>
          <w:szCs w:val="28"/>
        </w:rPr>
        <w:t xml:space="preserve">ся показатель</w:t>
      </w:r>
      <w:r>
        <w:rPr>
          <w:rFonts w:ascii="Times New Roman" w:hAnsi="Times New Roman"/>
          <w:sz w:val="28"/>
          <w:szCs w:val="28"/>
        </w:rPr>
        <w:t xml:space="preserve"> не превышает норм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установленн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бюджетным законодательством</w:t>
      </w:r>
      <w:r>
        <w:rPr>
          <w:rFonts w:ascii="Times New Roman" w:hAnsi="Times New Roman"/>
          <w:sz w:val="28"/>
          <w:szCs w:val="28"/>
        </w:rPr>
        <w:t xml:space="preserve">, а так же услови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заключенных</w:t>
      </w:r>
      <w:r>
        <w:rPr>
          <w:rFonts w:ascii="Times New Roman" w:hAnsi="Times New Roman"/>
          <w:sz w:val="28"/>
          <w:szCs w:val="28"/>
        </w:rPr>
        <w:t xml:space="preserve"> между Министерством финансов Республики Адыгея и 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Повышение финансовой устойчивости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по сравнению с прошлым годом </w:t>
      </w:r>
      <w:r>
        <w:rPr>
          <w:rFonts w:ascii="Times New Roman" w:hAnsi="Times New Roman"/>
          <w:sz w:val="28"/>
          <w:szCs w:val="28"/>
        </w:rPr>
        <w:t xml:space="preserve">обусловлено увеличением поступлений по налоговым и неналоговым доходам, а также погашением части основного долга, по сравнению с аналогичным периодом прошлого года долг сократился на 2,5%.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мониторингом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проведенным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финансов Республики Адыгея</w:t>
      </w:r>
      <w:r>
        <w:rPr>
          <w:rFonts w:ascii="Times New Roman" w:hAnsi="Times New Roman"/>
          <w:sz w:val="28"/>
          <w:szCs w:val="28"/>
        </w:rPr>
        <w:t xml:space="preserve"> в 2024 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 xml:space="preserve">долговой устойчивости</w:t>
      </w:r>
      <w:r>
        <w:rPr>
          <w:rFonts w:ascii="Times New Roman" w:hAnsi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«Город Майкоп»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повысился и оценен, как </w:t>
      </w:r>
      <w:r>
        <w:rPr>
          <w:rFonts w:ascii="Times New Roman" w:hAnsi="Times New Roman"/>
          <w:sz w:val="28"/>
          <w:szCs w:val="28"/>
        </w:rPr>
        <w:t xml:space="preserve">высокий. 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Финансовым управлением приняты меры для недопущения необоснованного роста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объема вновь принимаемых расходных обязательств.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повышения уровня долговой устойчивости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проведено мероприятие по своевременному исполнению долговых обязательств муниципального образования «Город Майкоп» и расходов на их обслуживание, контрольные события реализации которого выполнены в полном объеме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отчетном периоде</w:t>
      </w:r>
      <w:r>
        <w:rPr>
          <w:rFonts w:ascii="Times New Roman" w:hAnsi="Times New Roman"/>
          <w:sz w:val="28"/>
          <w:szCs w:val="28"/>
        </w:rPr>
        <w:t xml:space="preserve"> своевременно исполнены долговые обязательства муниципального образования «Город Майкоп»</w:t>
      </w:r>
      <w:r>
        <w:rPr>
          <w:rFonts w:ascii="Times New Roman" w:hAnsi="Times New Roman"/>
          <w:sz w:val="28"/>
          <w:szCs w:val="28"/>
        </w:rPr>
        <w:t xml:space="preserve">, что позволило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снизить</w:t>
      </w:r>
      <w:r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долговой нагрузки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местн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бюджет.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</w:t>
      </w:r>
      <w:r>
        <w:rPr>
          <w:rFonts w:ascii="Times New Roman" w:hAnsi="Times New Roman"/>
          <w:sz w:val="28"/>
          <w:szCs w:val="28"/>
        </w:rPr>
        <w:t xml:space="preserve">огом успешного достижения цели и решения поставленной задачи является сохранение экономически обоснованного объема муниципального долга муниципального образования «Город Майкоп», поддержание его и объема расходов на обслуживание муниципального долга муници</w:t>
      </w:r>
      <w:r>
        <w:rPr>
          <w:rFonts w:ascii="Times New Roman" w:hAnsi="Times New Roman"/>
          <w:sz w:val="28"/>
          <w:szCs w:val="28"/>
        </w:rPr>
        <w:t xml:space="preserve">пального образования «Город Майкоп» на уровне, устанавливаемом ежегодно решением о бюджете, а также обеспечение безусловного исполнения принятых муниципальным образованием «Город Майкоп» долговых обязательств и отсутствие просроченной задолженности по ним.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Создание условий для эффективной организации осуществления бюджетного процесса в муниципальном образовании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</w:t>
      </w:r>
      <w:r>
        <w:rPr>
          <w:rFonts w:ascii="Times New Roman" w:hAnsi="Times New Roman"/>
          <w:sz w:val="28"/>
          <w:szCs w:val="28"/>
        </w:rPr>
        <w:t xml:space="preserve"> своевременной и качественной подготовке проекта решения о бюджете, а также обеспечение </w:t>
      </w:r>
      <w:r>
        <w:rPr>
          <w:rFonts w:ascii="Times New Roman" w:hAnsi="Times New Roman"/>
          <w:sz w:val="28"/>
          <w:szCs w:val="28"/>
        </w:rPr>
        <w:t xml:space="preserve">исполнения расходных</w:t>
      </w:r>
      <w:r>
        <w:rPr>
          <w:rFonts w:ascii="Times New Roman" w:hAnsi="Times New Roman"/>
          <w:sz w:val="28"/>
          <w:szCs w:val="28"/>
        </w:rPr>
        <w:t xml:space="preserve"> обязательств, утвержденных бюджетом муниципального образования «Город Майкоп», обеспечение контроля за текущим исполнением бюджета муниципального образования «Город Майкоп», </w:t>
      </w:r>
      <w:r>
        <w:rPr>
          <w:rFonts w:ascii="Times New Roman" w:hAnsi="Times New Roman"/>
          <w:sz w:val="28"/>
          <w:szCs w:val="28"/>
        </w:rPr>
        <w:t xml:space="preserve">ежедневный мониторинг налоговых и неналоговых поступлений, взаимодействие с администраторами поступлений в местный бюджет, структурными подразделениями Администрации муниципального образования «Город Майкоп», </w:t>
      </w:r>
      <w:r>
        <w:rPr>
          <w:rFonts w:ascii="Times New Roman" w:hAnsi="Times New Roman"/>
          <w:sz w:val="28"/>
          <w:szCs w:val="28"/>
        </w:rPr>
        <w:t xml:space="preserve">формирование бюджетной отчетности являются наиболее значимыми основными задачами Финансового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Основную долю в общем объеме расходов бюджета муниципального образования «Город Майкоп» в 202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4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 году составили расходы в рамках реализации муниципальных программ, исполнение которых сложилось в объеме 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7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704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291,9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 тыс. рублей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или 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94,2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%</w:t>
      </w:r>
      <w:r>
        <w:rPr>
          <w:rFonts w:ascii="Times New Roman" w:hAnsi="Times New Roman" w:eastAsia="Arial Unicode MS"/>
          <w:sz w:val="28"/>
          <w:szCs w:val="28"/>
          <w:lang w:bidi="hi-IN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исполнения бюджета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«Город Майкоп»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сложился профицит бюджета в размере </w:t>
      </w:r>
      <w:r>
        <w:rPr>
          <w:rFonts w:ascii="Times New Roman" w:hAnsi="Times New Roman"/>
          <w:sz w:val="28"/>
          <w:szCs w:val="28"/>
        </w:rPr>
        <w:t xml:space="preserve">310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074,3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</w:t>
      </w:r>
      <w:r>
        <w:rPr>
          <w:rFonts w:ascii="Times New Roman" w:hAnsi="Times New Roman"/>
          <w:sz w:val="28"/>
          <w:szCs w:val="28"/>
        </w:rPr>
        <w:t xml:space="preserve">. руб</w:t>
      </w:r>
      <w:r>
        <w:rPr>
          <w:rFonts w:ascii="Times New Roman" w:hAnsi="Times New Roman"/>
          <w:sz w:val="28"/>
          <w:szCs w:val="28"/>
        </w:rPr>
        <w:t xml:space="preserve">лей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реализации мероприятия по организации и осуществлению бюджетного процесса в муниципальном образовании «Город Майкоп» планируемые значения контрольных событий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выполнены в полном объеме,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 xml:space="preserve">дв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событи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перевыполнены: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у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частие в семинарах, совещаниях, повышении квалификации, обеспечивающих необходимый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профессиональный 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, в котором запланировано 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участников, фактическое исполнение перевыполнено на </w:t>
      </w:r>
      <w:r>
        <w:rPr>
          <w:rFonts w:ascii="Times New Roman" w:hAnsi="Times New Roman"/>
          <w:color w:val="000000"/>
          <w:sz w:val="28"/>
          <w:szCs w:val="28"/>
        </w:rPr>
        <w:t xml:space="preserve">8 единиц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 xml:space="preserve">внесени</w:t>
      </w:r>
      <w:r>
        <w:rPr>
          <w:rFonts w:ascii="Times New Roman" w:hAnsi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изменений в Решение Совета народных депутатов муниципального образования «Город Майкоп» «О бюджете муниципального образования «Город Майкоп» на текущий год и на плановый период </w:t>
      </w:r>
      <w:r>
        <w:rPr>
          <w:rFonts w:ascii="Times New Roman" w:hAnsi="Times New Roman"/>
          <w:color w:val="000000"/>
          <w:sz w:val="28"/>
          <w:szCs w:val="28"/>
        </w:rPr>
        <w:t xml:space="preserve">из запланированных 4 изменений фактически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внесено 11</w:t>
      </w:r>
      <w:r>
        <w:rPr>
          <w:rFonts w:ascii="Times New Roman" w:hAnsi="Times New Roman"/>
          <w:color w:val="000000"/>
          <w:sz w:val="28"/>
          <w:szCs w:val="28"/>
        </w:rPr>
        <w:t xml:space="preserve">. Необходимость внесения изменений </w:t>
      </w:r>
      <w:r>
        <w:rPr>
          <w:rFonts w:ascii="Times New Roman" w:hAnsi="Times New Roman"/>
          <w:color w:val="000000"/>
          <w:sz w:val="28"/>
          <w:szCs w:val="28"/>
        </w:rPr>
        <w:t xml:space="preserve">была </w:t>
      </w:r>
      <w:r>
        <w:rPr>
          <w:rFonts w:ascii="Times New Roman" w:hAnsi="Times New Roman"/>
          <w:color w:val="000000"/>
          <w:sz w:val="28"/>
          <w:szCs w:val="28"/>
        </w:rPr>
        <w:t xml:space="preserve">обусловлена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</w:t>
      </w:r>
      <w:r>
        <w:rPr>
          <w:rFonts w:ascii="Times New Roman" w:hAnsi="Times New Roman"/>
          <w:color w:val="000000"/>
          <w:sz w:val="28"/>
          <w:szCs w:val="28"/>
        </w:rPr>
        <w:t xml:space="preserve">плениями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межбюджетных трансфертов, налоговых и неналоговых доходов,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соответствующим</w:t>
      </w:r>
      <w:r>
        <w:rPr>
          <w:rFonts w:ascii="Times New Roman" w:hAnsi="Times New Roman"/>
          <w:color w:val="000000"/>
          <w:sz w:val="28"/>
          <w:szCs w:val="28"/>
        </w:rPr>
        <w:t xml:space="preserve"> уточнением расходной части бюджета.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Сведения о достижении значений целевых показателей (индикат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в таблице №1.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97"/>
        <w:ind w:firstLine="698"/>
        <w:jc w:val="right"/>
        <w:rPr>
          <w:rFonts w:ascii="Times New Roman" w:hAnsi="Times New Roman"/>
          <w:bCs/>
          <w:color w:val="26282f"/>
          <w:sz w:val="24"/>
          <w:szCs w:val="24"/>
        </w:rPr>
      </w:pPr>
      <w:r>
        <w:rPr>
          <w:rFonts w:ascii="Times New Roman" w:hAnsi="Times New Roman"/>
          <w:bCs/>
          <w:color w:val="26282f"/>
          <w:sz w:val="24"/>
          <w:szCs w:val="24"/>
        </w:rPr>
        <w:t xml:space="preserve">Таблица № 1</w:t>
      </w:r>
      <w:r>
        <w:rPr>
          <w:rFonts w:ascii="Times New Roman" w:hAnsi="Times New Roman"/>
          <w:bCs/>
          <w:color w:val="26282f"/>
          <w:sz w:val="24"/>
          <w:szCs w:val="24"/>
        </w:rPr>
      </w:r>
    </w:p>
    <w:p>
      <w:pPr>
        <w:pStyle w:val="6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достижении значений целевых показателей (индикаторов) муниципальной программы</w:t>
      </w:r>
      <w:r>
        <w:rPr>
          <w:rFonts w:ascii="Times New Roman" w:hAnsi="Times New Roman"/>
          <w:sz w:val="28"/>
          <w:szCs w:val="28"/>
        </w:rPr>
        <w:t xml:space="preserve">, 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6"/>
        <w:gridCol w:w="2591"/>
        <w:gridCol w:w="992"/>
        <w:gridCol w:w="1418"/>
        <w:gridCol w:w="1559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36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 п/п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2591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Целевой показатель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(индикатор)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(наименование)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Единица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измерения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Значения целевых показателей (индикаторов) муниципальной программы, подпрограммы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% </w:t>
            </w:r>
            <w:r>
              <w:rPr>
                <w:rFonts w:ascii="Times New Roman" w:hAnsi="Times New Roman" w:eastAsia="Times New Roman"/>
              </w:rPr>
              <w:t xml:space="preserve">исполнения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  <w:tblHeader/>
        </w:trPr>
        <w:tc>
          <w:tcPr>
            <w:tcW w:w="636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591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</w:t>
            </w:r>
            <w:r>
              <w:rPr>
                <w:rFonts w:ascii="Times New Roman" w:hAnsi="Times New Roman" w:eastAsia="Times New Roman"/>
              </w:rPr>
              <w:t xml:space="preserve">2</w:t>
            </w:r>
            <w:r>
              <w:rPr>
                <w:rFonts w:ascii="Times New Roman" w:hAnsi="Times New Roman" w:eastAsia="Times New Roman"/>
              </w:rPr>
              <w:t xml:space="preserve">3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(*)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</w:t>
            </w:r>
            <w:r>
              <w:rPr>
                <w:rFonts w:ascii="Times New Roman" w:hAnsi="Times New Roman" w:eastAsia="Times New Roman"/>
              </w:rPr>
              <w:t xml:space="preserve">2</w:t>
            </w:r>
            <w:r>
              <w:rPr>
                <w:rFonts w:ascii="Times New Roman" w:hAnsi="Times New Roman" w:eastAsia="Times New Roman"/>
              </w:rPr>
              <w:t xml:space="preserve">4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/>
          <w:tblHeader/>
        </w:trPr>
        <w:tc>
          <w:tcPr>
            <w:tcW w:w="636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591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План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Факт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60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Муниципальная программа «Управление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муниципальными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финансами»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Объем налоговых и неналоговых доходов бюджета муниципального образования «Город Майкоп» в расчете на 1 жителя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181,1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Уровень исполнения бюджета муниципального образования «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ород Майкоп» по расходам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98,5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97,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95,5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97,8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Размер муниципального долга муниципального образования «Город Майкоп» в расчете на 1 жителя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spacing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Степень качества управления муниципальными финансами в рейтинге качества управления финансами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ф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ормируемом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pStyle w:val="697"/>
              <w:spacing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Министерством финансов Республики Адыгея за отчетный финансовый год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степень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степень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gridSpan w:val="7"/>
            <w:tcW w:w="960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Подпрограмма «Управление муниципальным долгом»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Уровень долговой нагрузки на бюджет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42,7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56,7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29,7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52,4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Доля расходов на обслуживание муниципального долга в общем объеме расходов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gridSpan w:val="7"/>
            <w:tcW w:w="960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Доля налоговых и неналог</w:t>
            </w:r>
            <w:r>
              <w:rPr>
                <w:rFonts w:ascii="Times New Roman" w:hAnsi="Times New Roman" w:eastAsia="Times New Roman"/>
                <w:bCs/>
              </w:rPr>
              <w:t xml:space="preserve">овых доходов бюджета муниципального образования «Город Майкоп»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«Город Майкоп» (без учета субвенций)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39,1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95,2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49,9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/>
        </w:trPr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Темп роста налоговых и неналоговых доходов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 предыдущему году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104,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134,0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Уровень исполнения прогноза налоговых и неналоговых доходов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Отношение дефицита бюджета муниципального образования «Город Майкоп» к доходам бюд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жета муниципального образования «Город Майкоп» без учета объема безвозмездных поступлений, поступлений от продажи акций и иных форм участия в капитале, и снижения остатков средств на счетах по учету средств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3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91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Удельный вес расходов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формируемых в рамках муниципальных программ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69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</w:rPr>
        <w:t xml:space="preserve">Приводится фактическое значение целевого показателя (индикатора) за год, предшествующий </w:t>
      </w:r>
      <w:r>
        <w:rPr>
          <w:rFonts w:ascii="Times New Roman" w:hAnsi="Times New Roman"/>
        </w:rPr>
        <w:t xml:space="preserve">отчетному.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*</w:t>
      </w:r>
      <w:r>
        <w:rPr>
          <w:rFonts w:ascii="Times New Roman" w:hAnsi="Times New Roman"/>
        </w:rPr>
        <w:t xml:space="preserve"> Результаты </w:t>
      </w:r>
      <w:r>
        <w:rPr>
          <w:rFonts w:ascii="Times New Roman" w:hAnsi="Times New Roman"/>
        </w:rPr>
        <w:t xml:space="preserve">мониторинга и составления рейтинга муниципальных образований за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год, </w:t>
      </w:r>
      <w:r>
        <w:rPr>
          <w:rFonts w:ascii="Times New Roman" w:hAnsi="Times New Roman"/>
        </w:rPr>
        <w:t xml:space="preserve">проводимого Министерс</w:t>
      </w:r>
      <w:r>
        <w:rPr>
          <w:rFonts w:ascii="Times New Roman" w:hAnsi="Times New Roman"/>
        </w:rPr>
        <w:t xml:space="preserve">твом финансов Республики Адыгея, </w:t>
      </w:r>
      <w:r>
        <w:rPr>
          <w:rFonts w:ascii="Times New Roman" w:hAnsi="Times New Roman"/>
        </w:rPr>
        <w:t xml:space="preserve">будут в марте-апреле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4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 формировании сведений о достижении значений целевых показателей (индикаторов) муниципальной программы, подпрограмм муниципальной программы </w:t>
      </w:r>
      <w:r>
        <w:rPr>
          <w:rFonts w:ascii="Times New Roman" w:hAnsi="Times New Roman"/>
          <w:sz w:val="28"/>
          <w:szCs w:val="28"/>
          <w:lang w:eastAsia="ar-SA"/>
        </w:rPr>
        <w:t xml:space="preserve">произведен следующий </w:t>
      </w:r>
      <w:r>
        <w:rPr>
          <w:rFonts w:ascii="Times New Roman" w:hAnsi="Times New Roman"/>
          <w:sz w:val="28"/>
          <w:szCs w:val="28"/>
          <w:lang w:eastAsia="ar-SA"/>
        </w:rPr>
        <w:t xml:space="preserve">расчет по</w:t>
      </w:r>
      <w:r>
        <w:rPr>
          <w:rFonts w:ascii="Times New Roman" w:hAnsi="Times New Roman"/>
          <w:sz w:val="28"/>
          <w:szCs w:val="28"/>
          <w:lang w:eastAsia="ar-SA"/>
        </w:rPr>
        <w:t xml:space="preserve"> фактическому достижению значений целевых показателей по итогам отчетного года: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 xml:space="preserve">По муниципальной программе «Управление муниципальными финансами»: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 xml:space="preserve">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Объем налоговых и неналоговых доходов бюджета муниципального образования «Город Майкоп» на 1 жителя, тыс. рублей.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 xml:space="preserve">V=A/B,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 - объем налоговых и неналоговых доходов бюджета муниципального образования «Город Майкоп»;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- численность постоянного населения муниципального образования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3106951,2</w:t>
      </w:r>
      <w:r>
        <w:rPr>
          <w:rFonts w:ascii="Times New Roman" w:hAnsi="Times New Roman"/>
          <w:sz w:val="28"/>
          <w:szCs w:val="28"/>
          <w:lang w:eastAsia="ar-SA"/>
        </w:rPr>
        <w:t xml:space="preserve">/</w:t>
      </w:r>
      <w:r>
        <w:rPr>
          <w:rFonts w:ascii="Times New Roman" w:hAnsi="Times New Roman"/>
          <w:sz w:val="28"/>
          <w:szCs w:val="28"/>
          <w:lang w:eastAsia="ar-SA"/>
        </w:rPr>
        <w:t xml:space="preserve">161898</w:t>
      </w:r>
      <w:r>
        <w:rPr>
          <w:rFonts w:ascii="Times New Roman" w:hAnsi="Times New Roman"/>
          <w:sz w:val="28"/>
          <w:szCs w:val="28"/>
          <w:lang w:eastAsia="ar-SA"/>
        </w:rPr>
        <w:t xml:space="preserve">=</w:t>
      </w:r>
      <w:r>
        <w:rPr>
          <w:rFonts w:ascii="Times New Roman" w:hAnsi="Times New Roman"/>
          <w:sz w:val="28"/>
          <w:szCs w:val="28"/>
          <w:lang w:eastAsia="ar-SA"/>
        </w:rPr>
        <w:t xml:space="preserve">19,2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Целевой показатель перевыполнен </w:t>
      </w: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/>
          <w:sz w:val="28"/>
          <w:szCs w:val="28"/>
          <w:lang w:eastAsia="ar-SA"/>
        </w:rPr>
        <w:t xml:space="preserve">81,1</w:t>
      </w:r>
      <w:r>
        <w:rPr>
          <w:rFonts w:ascii="Times New Roman" w:hAnsi="Times New Roman"/>
          <w:sz w:val="28"/>
          <w:szCs w:val="28"/>
          <w:lang w:eastAsia="ar-SA"/>
        </w:rPr>
        <w:t xml:space="preserve">% </w:t>
      </w: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связи с увеличением объема налоговых и неналоговых доходов бюджета в сравнении с плановыми показателями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</w:t>
      </w:r>
      <w:r>
        <w:rPr>
          <w:rFonts w:ascii="Times New Roman" w:hAnsi="Times New Roman"/>
          <w:sz w:val="28"/>
          <w:szCs w:val="28"/>
          <w:lang w:eastAsia="ar-SA"/>
        </w:rPr>
        <w:t xml:space="preserve">2. Целевой показатель: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Уровень исполнения бюджета муниципального образования «Город Майкоп» по расходам, %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sz w:val="28"/>
          <w:szCs w:val="28"/>
          <w:lang w:eastAsia="ru-RU"/>
        </w:rPr>
        <w:t xml:space="preserve"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</w:t>
      </w:r>
      <w:r>
        <w:rPr>
          <w:rFonts w:ascii="Times New Roman" w:hAnsi="Times New Roman"/>
          <w:sz w:val="28"/>
          <w:szCs w:val="28"/>
          <w:lang w:eastAsia="ru-RU"/>
        </w:rPr>
        <w:t xml:space="preserve">*100%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 - годовой объем расходов бюджета муниципального образования «Город Майкоп»;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- плановый объем расходов бюджета муниципального образования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8180391,2/8564158,2*100%=95,5.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</w:t>
      </w:r>
      <w:r>
        <w:rPr>
          <w:rFonts w:ascii="Times New Roman" w:hAnsi="Times New Roman"/>
          <w:sz w:val="28"/>
          <w:szCs w:val="28"/>
          <w:lang w:eastAsia="ar-SA"/>
        </w:rPr>
        <w:t xml:space="preserve">3. Целевой показатель: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Размер муниципального долга муниципального образования «Город Майкоп» на 1 жителя, тыс. рублей.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 xml:space="preserve">V=A/B,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объем муниципального долга муниципального образования «Город Майкоп»;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- численность постоянного населения муниципального образования «Город Майкоп».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923876,5/161898=5,7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>
        <w:rPr>
          <w:rFonts w:ascii="Times New Roman" w:hAnsi="Times New Roman"/>
          <w:sz w:val="28"/>
          <w:szCs w:val="28"/>
        </w:rPr>
        <w:t xml:space="preserve">на 5,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% относительно плановых показателей </w:t>
      </w:r>
      <w:r>
        <w:rPr>
          <w:rFonts w:ascii="Times New Roman" w:hAnsi="Times New Roman"/>
          <w:sz w:val="28"/>
          <w:szCs w:val="28"/>
        </w:rPr>
        <w:t xml:space="preserve">повышает</w:t>
      </w:r>
      <w:r>
        <w:rPr>
          <w:rFonts w:ascii="Times New Roman" w:hAnsi="Times New Roman"/>
          <w:sz w:val="28"/>
          <w:szCs w:val="28"/>
        </w:rPr>
        <w:t xml:space="preserve"> оценку достижения</w:t>
      </w:r>
      <w:r>
        <w:rPr>
          <w:rFonts w:ascii="Times New Roman" w:hAnsi="Times New Roman"/>
          <w:sz w:val="28"/>
          <w:szCs w:val="28"/>
        </w:rPr>
        <w:t xml:space="preserve"> планового значения показателя.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сравнении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годом размер муниципального долга муниципального образования «Город Майкоп» на 1 жителя в 202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году ниже на 0,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ar-SA"/>
        </w:rPr>
        <w:t xml:space="preserve">Целевой показатель: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качества управления муниципальными финансами в рейтинге качества управления финансами, формируемом Министерством финансов Республики Адыгея за отчетный финансовый год.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показатель не требует расчета.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Исходя из динамики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последние 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лет, по результатам оценки качества управления финансами за отчетный финансовый год, муниципальному образованию «Город Майкоп»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присваивается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I степень, как муниципальному образованию с высоким качеством управления муниципальными финансами.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мониторинг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составлени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рейтинга муниципальных образований, проводимого Министерством финансов Республики Адыгея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2024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муниципальному образованию «Город Майкоп» также присвоена высокая степень.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sz w:val="28"/>
          <w:szCs w:val="28"/>
          <w:lang w:eastAsia="ar-SA"/>
        </w:rPr>
        <w:t xml:space="preserve">По подпрограмме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«Управление муниципальным долгом»: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</w:t>
      </w:r>
      <w:r>
        <w:rPr>
          <w:rFonts w:ascii="Times New Roman" w:hAnsi="Times New Roman"/>
          <w:sz w:val="28"/>
          <w:szCs w:val="28"/>
          <w:lang w:eastAsia="ar-SA"/>
        </w:rPr>
        <w:t xml:space="preserve">.1. 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Уровень долговой нагрузки на бюджет муниципального образования «Город Майкоп», %.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sz w:val="28"/>
          <w:szCs w:val="28"/>
          <w:lang w:eastAsia="ru-RU"/>
        </w:rPr>
        <w:t xml:space="preserve"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</w:t>
      </w:r>
      <w:r>
        <w:rPr>
          <w:rFonts w:ascii="Times New Roman" w:hAnsi="Times New Roman"/>
          <w:sz w:val="28"/>
          <w:szCs w:val="28"/>
          <w:lang w:eastAsia="ru-RU"/>
        </w:rPr>
        <w:t xml:space="preserve">*100%</w:t>
      </w:r>
      <w:r>
        <w:rPr>
          <w:rFonts w:ascii="Times New Roman" w:hAnsi="Times New Roman"/>
          <w:sz w:val="28"/>
          <w:szCs w:val="28"/>
        </w:rPr>
        <w:t xml:space="preserve">, где: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муниципального долга, тыс. рублей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- общий годовой объем доходов бюджета муниципального образования «Город Майкоп» без учета безвозмездных поступлений, тыс. рублей.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923876,5/3106951,2</w:t>
      </w:r>
      <w:r>
        <w:rPr>
          <w:rFonts w:ascii="Times New Roman" w:hAnsi="Times New Roman"/>
          <w:sz w:val="28"/>
          <w:szCs w:val="28"/>
        </w:rPr>
        <w:t xml:space="preserve">*100%=</w:t>
      </w:r>
      <w:r>
        <w:rPr>
          <w:rFonts w:ascii="Times New Roman" w:hAnsi="Times New Roman"/>
          <w:sz w:val="28"/>
          <w:szCs w:val="28"/>
        </w:rPr>
        <w:t xml:space="preserve">29,7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меньшение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7,6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сложи</w:t>
      </w:r>
      <w:r>
        <w:rPr>
          <w:rFonts w:ascii="Times New Roman" w:hAnsi="Times New Roman" w:eastAsia="Times New Roman"/>
          <w:sz w:val="28"/>
          <w:szCs w:val="28"/>
        </w:rPr>
        <w:t xml:space="preserve">вшееся</w:t>
      </w:r>
      <w:r>
        <w:rPr>
          <w:rFonts w:ascii="Times New Roman" w:hAnsi="Times New Roman" w:eastAsia="Times New Roman"/>
          <w:sz w:val="28"/>
          <w:szCs w:val="28"/>
        </w:rPr>
        <w:t xml:space="preserve"> в связи с увеличением объема налоговых и неналоговых доходов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«Город Майкоп»</w:t>
      </w:r>
      <w:r>
        <w:rPr>
          <w:rFonts w:ascii="Times New Roman" w:hAnsi="Times New Roman"/>
          <w:sz w:val="28"/>
          <w:szCs w:val="28"/>
        </w:rPr>
        <w:t xml:space="preserve"> и уменьшением муниципального долга на 23 704,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тыс. рублей по сравнению с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годом, свидетельствует о снижении уровня долговой нагрузки на бюджет муниципального образования.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долговой нагрузки нацелен на желаемую тенденцию по снижению показателя.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2.2. 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Доля расходов на обслуживание муниципального долга в общем объеме расходов бюджета муниципального образования «Город Майкоп», %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sz w:val="28"/>
          <w:szCs w:val="28"/>
          <w:lang w:eastAsia="ru-RU"/>
        </w:rPr>
        <w:t xml:space="preserve"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</w:t>
      </w:r>
      <w:r>
        <w:rPr>
          <w:rFonts w:ascii="Times New Roman" w:hAnsi="Times New Roman"/>
          <w:sz w:val="28"/>
          <w:szCs w:val="28"/>
          <w:lang w:eastAsia="ru-RU"/>
        </w:rPr>
        <w:t xml:space="preserve">*100%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- объем расходов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обслуживание</w:t>
      </w:r>
      <w:r>
        <w:rPr>
          <w:rFonts w:ascii="Times New Roman" w:hAnsi="Times New Roman"/>
          <w:sz w:val="28"/>
          <w:szCs w:val="28"/>
        </w:rPr>
        <w:t xml:space="preserve"> муниципального долга муниципального образования «Город Майкоп»,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В - объем расходов бюджет</w:t>
      </w:r>
      <w:r>
        <w:rPr>
          <w:rFonts w:ascii="Times New Roman" w:hAnsi="Times New Roman"/>
          <w:color w:val="22272f"/>
          <w:sz w:val="28"/>
          <w:szCs w:val="28"/>
        </w:rPr>
        <w:t xml:space="preserve">а муниципального образования «Город Майкоп» за исключением объема расходов, которые осуществляются за счет субвенций, предоставляемых из бюджетов бюджетной системы Российской Федерации, тыс. рублей.</w:t>
      </w:r>
      <w:r>
        <w:rPr>
          <w:rFonts w:ascii="Times New Roman" w:hAnsi="Times New Roman"/>
          <w:color w:val="22272f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945,5/6222799,1*100%=0,02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Значительное</w:t>
      </w:r>
      <w:r>
        <w:rPr>
          <w:rFonts w:ascii="Times New Roman" w:hAnsi="Times New Roman"/>
          <w:sz w:val="28"/>
          <w:szCs w:val="28"/>
        </w:rPr>
        <w:t xml:space="preserve"> снижение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фактического значения показателя по сравнению с плановым </w:t>
      </w:r>
      <w:r>
        <w:rPr>
          <w:rFonts w:ascii="Times New Roman" w:hAnsi="Times New Roman"/>
          <w:sz w:val="28"/>
          <w:szCs w:val="28"/>
        </w:rPr>
        <w:t xml:space="preserve">обусловлено отсутствием кредитов коммерческих банков с </w:t>
      </w:r>
      <w:r>
        <w:rPr>
          <w:rFonts w:ascii="Times New Roman" w:hAnsi="Times New Roman"/>
          <w:sz w:val="28"/>
          <w:szCs w:val="28"/>
        </w:rPr>
        <w:t xml:space="preserve">высокой процентной ставкой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что положительно влияет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минимизацию</w:t>
      </w:r>
      <w:r>
        <w:rPr>
          <w:rFonts w:ascii="Times New Roman" w:hAnsi="Times New Roman"/>
          <w:sz w:val="28"/>
          <w:szCs w:val="28"/>
        </w:rPr>
        <w:t xml:space="preserve"> расходов на обслуживание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долга.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По подпрограмме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«Обеспечение деятельности Финансового управления по организации и осуществлению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бюджетного процесса в муниципальном образовании «Город Майкоп»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</w:t>
      </w:r>
      <w:r>
        <w:rPr>
          <w:rFonts w:ascii="Times New Roman" w:hAnsi="Times New Roman"/>
          <w:sz w:val="28"/>
          <w:szCs w:val="28"/>
          <w:lang w:eastAsia="ar-SA"/>
        </w:rPr>
        <w:t xml:space="preserve">.1. 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налоговых и неналоговых</w:t>
      </w:r>
      <w:r>
        <w:rPr>
          <w:rFonts w:ascii="Times New Roman" w:hAnsi="Times New Roman"/>
          <w:sz w:val="28"/>
          <w:szCs w:val="28"/>
        </w:rPr>
        <w:t xml:space="preserve"> доходов бюджета муниципального образования «Город Майкоп»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«Город Майкоп» (без учета субвенций), %.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*100%,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А – налоговые и неналоговые доходы бюджета муниципального образования «Город Майкоп» (за исключением поступлений налоговых доходов по дополнительным нормативам отчислений);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- общий объем собственных доходов бюджета муниципального образования «Город Майкоп» (без учета субвенций).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3106951,2</w:t>
      </w:r>
      <w:r>
        <w:rPr>
          <w:rFonts w:ascii="Times New Roman" w:hAnsi="Times New Roman"/>
          <w:sz w:val="28"/>
          <w:szCs w:val="28"/>
          <w:lang w:eastAsia="ar-SA"/>
        </w:rPr>
        <w:t xml:space="preserve">/</w:t>
      </w:r>
      <w:r>
        <w:rPr>
          <w:rFonts w:ascii="Times New Roman" w:hAnsi="Times New Roman"/>
          <w:sz w:val="28"/>
          <w:szCs w:val="28"/>
          <w:lang w:eastAsia="ar-SA"/>
        </w:rPr>
        <w:t xml:space="preserve">6538379,1</w:t>
      </w:r>
      <w:r>
        <w:rPr>
          <w:rFonts w:ascii="Times New Roman" w:hAnsi="Times New Roman"/>
          <w:sz w:val="28"/>
          <w:szCs w:val="28"/>
          <w:lang w:eastAsia="ar-SA"/>
        </w:rPr>
        <w:t xml:space="preserve">*100% = </w:t>
      </w:r>
      <w:r>
        <w:rPr>
          <w:rFonts w:ascii="Times New Roman" w:hAnsi="Times New Roman"/>
          <w:sz w:val="28"/>
          <w:szCs w:val="28"/>
          <w:lang w:eastAsia="ar-SA"/>
        </w:rPr>
        <w:t xml:space="preserve">47,5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Снижение </w:t>
      </w:r>
      <w:r>
        <w:rPr>
          <w:rFonts w:ascii="Times New Roman" w:hAnsi="Times New Roman"/>
          <w:sz w:val="28"/>
          <w:szCs w:val="28"/>
          <w:lang w:eastAsia="ar-SA"/>
        </w:rPr>
        <w:t xml:space="preserve">показателя </w:t>
      </w: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/>
          <w:sz w:val="28"/>
          <w:szCs w:val="28"/>
          <w:lang w:eastAsia="ar-SA"/>
        </w:rPr>
        <w:t xml:space="preserve">50,1</w:t>
      </w:r>
      <w:r>
        <w:rPr>
          <w:rFonts w:ascii="Times New Roman" w:hAnsi="Times New Roman"/>
          <w:sz w:val="28"/>
          <w:szCs w:val="28"/>
          <w:lang w:eastAsia="ar-SA"/>
        </w:rPr>
        <w:t xml:space="preserve">% </w:t>
      </w:r>
      <w:r>
        <w:rPr>
          <w:rFonts w:ascii="Times New Roman" w:hAnsi="Times New Roman"/>
          <w:sz w:val="28"/>
          <w:szCs w:val="28"/>
          <w:lang w:eastAsia="ar-SA"/>
        </w:rPr>
        <w:t xml:space="preserve">к плановым значениям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2024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обусловлено тем, что </w:t>
      </w:r>
      <w:r>
        <w:rPr>
          <w:rFonts w:ascii="Times New Roman" w:hAnsi="Times New Roman"/>
          <w:sz w:val="28"/>
          <w:szCs w:val="28"/>
          <w:lang w:eastAsia="ar-SA"/>
        </w:rPr>
        <w:t xml:space="preserve">при расчете пла</w:t>
      </w:r>
      <w:r>
        <w:rPr>
          <w:rFonts w:ascii="Times New Roman" w:hAnsi="Times New Roman"/>
          <w:sz w:val="28"/>
          <w:szCs w:val="28"/>
          <w:lang w:eastAsia="ar-SA"/>
        </w:rPr>
        <w:t xml:space="preserve">новых показателей в собственных доходах не учитывались субсидии из вышестоящего бюджета (объемы планируемых поступлений соответствует данным утвержденного бюджетного прогноза), вместе с тем в ходе исполнения бюджета поступают значительные объемы субсидии. 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3.2. 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Темп роста налоговых и неналоговых доходов бюджета муниципального образования «Город Майкоп» (к предыдущему году), %.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</w:rPr>
        <w:t xml:space="preserve">V=A/B х100%,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А - объем налоговых и неналоговых доходов бюджета муниципального образования «Город Майкоп» в отчетном году;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- объем налоговых и неналоговых доходов бюджета муниципального образования «Город Майкоп» в предыдущем году.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3106951,2</w:t>
      </w:r>
      <w:r>
        <w:rPr>
          <w:rFonts w:ascii="Times New Roman" w:hAnsi="Times New Roman"/>
          <w:sz w:val="28"/>
          <w:szCs w:val="28"/>
          <w:lang w:eastAsia="ar-SA"/>
        </w:rPr>
        <w:t xml:space="preserve">/</w:t>
      </w:r>
      <w:r>
        <w:rPr>
          <w:rFonts w:ascii="Times New Roman" w:hAnsi="Times New Roman"/>
          <w:sz w:val="28"/>
          <w:szCs w:val="28"/>
          <w:lang w:eastAsia="ar-SA"/>
        </w:rPr>
        <w:t xml:space="preserve">2219442,8</w:t>
      </w:r>
      <w:r>
        <w:rPr>
          <w:rFonts w:ascii="Times New Roman" w:hAnsi="Times New Roman"/>
          <w:sz w:val="28"/>
          <w:szCs w:val="28"/>
          <w:lang w:eastAsia="ar-SA"/>
        </w:rPr>
        <w:t xml:space="preserve">*100%=</w:t>
      </w:r>
      <w:r>
        <w:rPr>
          <w:rFonts w:ascii="Times New Roman" w:hAnsi="Times New Roman"/>
          <w:sz w:val="28"/>
          <w:szCs w:val="28"/>
          <w:lang w:eastAsia="ar-SA"/>
        </w:rPr>
        <w:t xml:space="preserve">140,0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 этому показателю </w:t>
      </w:r>
      <w:r>
        <w:rPr>
          <w:rFonts w:ascii="Times New Roman" w:hAnsi="Times New Roman"/>
          <w:sz w:val="28"/>
          <w:szCs w:val="28"/>
          <w:lang w:eastAsia="ar-SA"/>
        </w:rPr>
        <w:t xml:space="preserve">увеличение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значения по сравнению с плановым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составило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34,0</w:t>
      </w:r>
      <w:r>
        <w:rPr>
          <w:rFonts w:ascii="Times New Roman" w:hAnsi="Times New Roman"/>
          <w:sz w:val="28"/>
          <w:szCs w:val="28"/>
          <w:lang w:eastAsia="ar-SA"/>
        </w:rPr>
        <w:t xml:space="preserve">% из-за роста фактических поступлений в основном за счет: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налога на доходы физическ</w:t>
      </w:r>
      <w:r>
        <w:rPr>
          <w:rFonts w:ascii="Times New Roman" w:hAnsi="Times New Roman"/>
          <w:sz w:val="28"/>
          <w:szCs w:val="28"/>
          <w:lang w:eastAsia="ar-SA"/>
        </w:rPr>
        <w:t xml:space="preserve">их лиц (рост фонда оплаты труда, продажа доли в уставном капитале);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налога, взимаемого в связи с применением упрощенной системы налогообложения (увеличение доходности индивидуальных предпринимателей, появление новых плательщиков налога);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пошлины, взимаемой в судах общей юрисдикции</w:t>
      </w:r>
      <w:r>
        <w:rPr>
          <w:rFonts w:ascii="Times New Roman" w:hAnsi="Times New Roman"/>
          <w:sz w:val="28"/>
          <w:szCs w:val="28"/>
          <w:lang w:eastAsia="ar-SA"/>
        </w:rPr>
        <w:t xml:space="preserve"> (в связи с </w:t>
      </w:r>
      <w:r>
        <w:rPr>
          <w:rFonts w:ascii="Times New Roman" w:hAnsi="Times New Roman"/>
          <w:sz w:val="28"/>
          <w:szCs w:val="28"/>
          <w:lang w:eastAsia="ar-SA"/>
        </w:rPr>
        <w:t xml:space="preserve">повышением размера судебных пошлин</w:t>
      </w:r>
      <w:r>
        <w:rPr>
          <w:rFonts w:ascii="Times New Roman" w:hAnsi="Times New Roman"/>
          <w:sz w:val="28"/>
          <w:szCs w:val="28"/>
          <w:lang w:eastAsia="ar-SA"/>
        </w:rPr>
        <w:t xml:space="preserve">);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штрафов, санкций, возмещений ущербов (увеличение поступлений сумм пеней);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доходов от продажи материальных и нематериальных активов (связано с погашением задолженности по основному долгу и пене ООО «Лидер»);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color w:val="2e74b5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налога на имущество организаций (за сч</w:t>
      </w:r>
      <w:r>
        <w:rPr>
          <w:rFonts w:ascii="Times New Roman" w:hAnsi="Times New Roman"/>
          <w:sz w:val="28"/>
          <w:szCs w:val="28"/>
          <w:lang w:eastAsia="ar-SA"/>
        </w:rPr>
        <w:t xml:space="preserve">ет роста налогооблагаемой базы).</w:t>
      </w:r>
      <w:r>
        <w:rPr>
          <w:rFonts w:ascii="Times New Roman" w:hAnsi="Times New Roman"/>
          <w:color w:val="2e74b5"/>
          <w:sz w:val="28"/>
          <w:szCs w:val="28"/>
          <w:lang w:eastAsia="ar-SA"/>
        </w:rPr>
      </w:r>
      <w:r>
        <w:rPr>
          <w:rFonts w:ascii="Times New Roman" w:hAnsi="Times New Roman"/>
          <w:color w:val="2e74b5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3.3. Целевой показатель: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Уровень исполнения прогноза налоговых и неналоговых доходов бюджета муниципального образования «Город Майкоп»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*100%,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годовой объем налоговых и неналоговых доходов,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– уточненный плановый объем налоговых и неналоговых доходов, тыс. рублей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3106951,2</w:t>
      </w:r>
      <w:r>
        <w:rPr>
          <w:rFonts w:ascii="Times New Roman" w:hAnsi="Times New Roman"/>
          <w:sz w:val="28"/>
          <w:szCs w:val="28"/>
          <w:lang w:eastAsia="ar-SA"/>
        </w:rPr>
        <w:t xml:space="preserve">/</w:t>
      </w:r>
      <w:r>
        <w:rPr>
          <w:rFonts w:ascii="Times New Roman" w:hAnsi="Times New Roman"/>
          <w:sz w:val="28"/>
          <w:szCs w:val="28"/>
          <w:lang w:eastAsia="ar-SA"/>
        </w:rPr>
        <w:t xml:space="preserve">3007193,4</w:t>
      </w:r>
      <w:r>
        <w:rPr>
          <w:rFonts w:ascii="Times New Roman" w:hAnsi="Times New Roman"/>
          <w:sz w:val="28"/>
          <w:szCs w:val="28"/>
          <w:lang w:eastAsia="ar-SA"/>
        </w:rPr>
        <w:t xml:space="preserve">*100%=</w:t>
      </w:r>
      <w:r>
        <w:rPr>
          <w:rFonts w:ascii="Times New Roman" w:hAnsi="Times New Roman"/>
          <w:sz w:val="28"/>
          <w:szCs w:val="28"/>
          <w:lang w:eastAsia="ar-SA"/>
        </w:rPr>
        <w:t xml:space="preserve">103,3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  <w:t xml:space="preserve">4</w:t>
      </w:r>
      <w:r>
        <w:rPr>
          <w:rFonts w:ascii="Times New Roman" w:hAnsi="Times New Roman"/>
          <w:sz w:val="28"/>
          <w:szCs w:val="28"/>
          <w:lang w:eastAsia="ar-SA"/>
        </w:rPr>
        <w:t xml:space="preserve">.Целевой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Отношение дефицита бюджета муниципального образования «Город Майкоп» к доходам бюджет</w:t>
      </w:r>
      <w:r>
        <w:rPr>
          <w:rFonts w:ascii="Times New Roman" w:hAnsi="Times New Roman"/>
          <w:sz w:val="28"/>
          <w:szCs w:val="28"/>
        </w:rPr>
        <w:t xml:space="preserve">а муниципального образования «Город Майкоп» без учета объема безвозмездных поступлений, поступлений от продажи акций и иных форм участия в капитале, и снижения остатков средств на счетах по учету средств бюджета муниципального образования «Город Майкоп», %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sz w:val="28"/>
          <w:szCs w:val="28"/>
          <w:lang w:eastAsia="ru-RU"/>
        </w:rPr>
        <w:t xml:space="preserve"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</w:t>
      </w:r>
      <w:r>
        <w:rPr>
          <w:rFonts w:ascii="Times New Roman" w:hAnsi="Times New Roman"/>
          <w:sz w:val="28"/>
          <w:szCs w:val="28"/>
          <w:lang w:eastAsia="ru-RU"/>
        </w:rPr>
        <w:t xml:space="preserve">*100%</w:t>
      </w:r>
      <w:r>
        <w:rPr>
          <w:rFonts w:ascii="Times New Roman" w:hAnsi="Times New Roman"/>
          <w:sz w:val="28"/>
          <w:szCs w:val="28"/>
        </w:rPr>
        <w:t xml:space="preserve">, где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размер дефицита бюджета муниципального образования «Город Майкоп»</w:t>
      </w:r>
      <w:r>
        <w:rPr>
          <w:rFonts w:ascii="Times New Roman" w:hAnsi="Times New Roman"/>
          <w:sz w:val="28"/>
          <w:szCs w:val="28"/>
        </w:rPr>
        <w:t xml:space="preserve">, тыс. руб.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объем доходов бюджета муниципального образования «Город Майкоп» без учета объема безвозмездных поступлений</w:t>
      </w:r>
      <w:r>
        <w:rPr>
          <w:rFonts w:ascii="Times New Roman" w:hAnsi="Times New Roman"/>
          <w:sz w:val="28"/>
          <w:szCs w:val="28"/>
        </w:rPr>
        <w:t xml:space="preserve">, тыс. рублей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исполнения бюджета сложился профицит.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  <w:t xml:space="preserve">5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Целевой показатель: 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расходов бюджета муниципального образования «Город Майкоп», формируемых в рамках муниципальных программ муниципального образования «Город Майкоп», %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Формула расчета: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sz w:val="28"/>
          <w:szCs w:val="28"/>
          <w:lang w:eastAsia="ru-RU"/>
        </w:rPr>
        <w:t xml:space="preserve"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</w:t>
      </w:r>
      <w:r>
        <w:rPr>
          <w:rFonts w:ascii="Times New Roman" w:hAnsi="Times New Roman"/>
          <w:sz w:val="28"/>
          <w:szCs w:val="28"/>
          <w:lang w:eastAsia="ru-RU"/>
        </w:rPr>
        <w:t xml:space="preserve">*100%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/>
          <w:sz w:val="28"/>
          <w:szCs w:val="28"/>
        </w:rPr>
        <w:t xml:space="preserve"> - объем расходов бюджета муниципального образования «Город Майкоп», формируемых в рамках муниципальных программ муниципального образования «Город Майкоп»</w:t>
      </w:r>
      <w:r>
        <w:rPr>
          <w:rFonts w:ascii="Times New Roman" w:hAnsi="Times New Roman"/>
          <w:sz w:val="28"/>
          <w:szCs w:val="28"/>
        </w:rPr>
        <w:t xml:space="preserve">,  тыс. рублей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бъем расходов бюджета муниципального образования «Город Майкоп»</w:t>
      </w:r>
      <w:r>
        <w:rPr>
          <w:rFonts w:ascii="Times New Roman" w:hAnsi="Times New Roman"/>
          <w:sz w:val="28"/>
          <w:szCs w:val="28"/>
        </w:rPr>
        <w:t xml:space="preserve">, тыс. рублей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7704291,9/8180391,2*100%=94,2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704"/>
        <w:jc w:val="both"/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  <w:t xml:space="preserve">Сведения </w:t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  <w:t xml:space="preserve">о степени выполнения основных мероприятий, мероприятий (направлений расходов), контрольных событий муниципальной программы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, подпрограмм муниципальной программы (обеспечивающей подпрограммы муниципальной программы) </w:t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  <w:t xml:space="preserve">представлены в таблице №</w:t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  <w:t xml:space="preserve">2</w:t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  <w:t xml:space="preserve">.</w:t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  <w:r>
        <w:rPr>
          <w:rStyle w:val="712"/>
          <w:rFonts w:ascii="Times New Roman" w:hAnsi="Times New Roman"/>
          <w:b w:val="0"/>
          <w:bCs/>
          <w:color w:val="000000"/>
          <w:sz w:val="28"/>
          <w:szCs w:val="28"/>
        </w:rPr>
      </w:r>
    </w:p>
    <w:p>
      <w:pPr>
        <w:pStyle w:val="697"/>
        <w:ind w:firstLine="698"/>
        <w:jc w:val="righ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</w:r>
      <w:r>
        <w:rPr>
          <w:rFonts w:ascii="Times New Roman" w:hAnsi="Times New Roman"/>
          <w:bCs/>
          <w:color w:val="26282f"/>
        </w:rPr>
      </w:r>
    </w:p>
    <w:p>
      <w:pPr>
        <w:pStyle w:val="697"/>
        <w:ind w:firstLine="698"/>
        <w:jc w:val="righ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t xml:space="preserve">Таблица № 2</w:t>
      </w:r>
      <w:r>
        <w:rPr>
          <w:rFonts w:ascii="Times New Roman" w:hAnsi="Times New Roman"/>
          <w:bCs/>
          <w:color w:val="26282f"/>
        </w:rPr>
      </w:r>
    </w:p>
    <w:p>
      <w:pPr>
        <w:pStyle w:val="697"/>
        <w:ind w:firstLine="697"/>
        <w:jc w:val="center"/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Сведения </w:t>
      </w:r>
      <w:r>
        <w:rPr>
          <w:rFonts w:ascii="Times New Roman" w:hAnsi="Times New Roman"/>
          <w:bCs/>
          <w:color w:val="26282f"/>
          <w:sz w:val="28"/>
          <w:szCs w:val="28"/>
        </w:rPr>
      </w:r>
    </w:p>
    <w:p>
      <w:pPr>
        <w:pStyle w:val="697"/>
        <w:ind w:firstLine="697"/>
        <w:jc w:val="center"/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о степени выполнения основных мероприятий, </w:t>
      </w:r>
      <w:r>
        <w:rPr>
          <w:rFonts w:ascii="Times New Roman" w:hAnsi="Times New Roman"/>
          <w:bCs/>
          <w:color w:val="26282f"/>
          <w:sz w:val="28"/>
          <w:szCs w:val="28"/>
        </w:rPr>
      </w:r>
    </w:p>
    <w:p>
      <w:pPr>
        <w:pStyle w:val="697"/>
        <w:ind w:firstLine="697"/>
        <w:jc w:val="center"/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мероприятий (направлений расходов), </w:t>
      </w:r>
      <w:r>
        <w:rPr>
          <w:rFonts w:ascii="Times New Roman" w:hAnsi="Times New Roman"/>
          <w:bCs/>
          <w:color w:val="26282f"/>
          <w:sz w:val="28"/>
          <w:szCs w:val="28"/>
        </w:rPr>
      </w:r>
    </w:p>
    <w:p>
      <w:pPr>
        <w:pStyle w:val="697"/>
        <w:ind w:firstLine="697"/>
        <w:jc w:val="center"/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 xml:space="preserve">контрольных событий муниципальной программы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, 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bCs/>
          <w:color w:val="26282f"/>
          <w:sz w:val="28"/>
          <w:szCs w:val="28"/>
        </w:rPr>
      </w:r>
      <w:r>
        <w:rPr>
          <w:rFonts w:ascii="Times New Roman" w:hAnsi="Times New Roman"/>
          <w:bCs/>
          <w:color w:val="26282f"/>
          <w:sz w:val="28"/>
          <w:szCs w:val="28"/>
        </w:rPr>
      </w:r>
    </w:p>
    <w:p>
      <w:pPr>
        <w:pStyle w:val="697"/>
        <w:jc w:val="center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</w:r>
      <w:r>
        <w:rPr>
          <w:rFonts w:ascii="Times New Roman" w:hAnsi="Times New Roman"/>
          <w:bCs/>
          <w:color w:val="26282f"/>
        </w:rPr>
      </w:r>
    </w:p>
    <w:tbl>
      <w:tblPr>
        <w:tblW w:w="913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6"/>
        <w:gridCol w:w="2865"/>
        <w:gridCol w:w="2068"/>
        <w:gridCol w:w="866"/>
        <w:gridCol w:w="1029"/>
        <w:gridCol w:w="1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Наименование основного мероприятия, мероприятия (направления расходов), контрольного события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Ответственный исполнитель, соисполнитель, участник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Показатели контрольных событий (в количественном выражении) за отчетный год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blHeader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План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Факт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bCs/>
                <w:color w:val="26282f"/>
              </w:rPr>
            </w:pPr>
            <w:r>
              <w:rPr>
                <w:rFonts w:ascii="Times New Roman" w:hAnsi="Times New Roman"/>
                <w:bCs/>
                <w:color w:val="26282f"/>
              </w:rPr>
              <w:t xml:space="preserve">% исполнения</w:t>
            </w:r>
            <w:r>
              <w:rPr>
                <w:rFonts w:ascii="Times New Roman" w:hAnsi="Times New Roman"/>
                <w:bCs/>
                <w:color w:val="26282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9135" w:type="dxa"/>
            <w:vAlign w:val="top"/>
            <w:textDirection w:val="lrTb"/>
            <w:noWrap w:val="false"/>
          </w:tcPr>
          <w:p>
            <w:pPr>
              <w:pStyle w:val="697"/>
              <w:jc w:val="center"/>
            </w:pPr>
            <w:r>
              <w:rPr>
                <w:rFonts w:ascii="Times New Roman" w:hAnsi="Times New Roman"/>
                <w:bCs/>
                <w:color w:val="26282f"/>
              </w:rPr>
              <w:t xml:space="preserve">Муниципальная программа «Управление </w:t>
            </w:r>
            <w:r>
              <w:rPr>
                <w:rFonts w:ascii="Times New Roman" w:hAnsi="Times New Roman"/>
                <w:bCs/>
                <w:color w:val="26282f"/>
              </w:rPr>
              <w:t xml:space="preserve">муниципальными </w:t>
            </w:r>
            <w:r>
              <w:rPr>
                <w:rFonts w:ascii="Times New Roman" w:hAnsi="Times New Roman"/>
                <w:bCs/>
                <w:color w:val="26282f"/>
              </w:rPr>
              <w:t xml:space="preserve">финансами»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9135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Подпрограмма «Управление муниципальным </w:t>
            </w:r>
            <w:r>
              <w:rPr>
                <w:rFonts w:ascii="Times New Roman" w:hAnsi="Times New Roman"/>
              </w:rPr>
              <w:t xml:space="preserve">долгом»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  <w:t xml:space="preserve">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spacing w:after="0" w:line="140" w:lineRule="atLeast"/>
              <w:rPr>
                <w:rFonts w:ascii="Times New Roman" w:hAnsi="Times New Roman" w:eastAsia="Times New Roman"/>
                <w:bCs/>
                <w:color w:val="000000"/>
              </w:rPr>
              <w:outlineLvl w:val="0"/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Основное мероприятие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Своевременное исполнение долговых обязательств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и расходов на их обслуживание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rPr>
                <w:rFonts w:ascii="Times New Roman" w:hAnsi="Times New Roman"/>
                <w:bCs/>
              </w:rPr>
              <w:t xml:space="preserve">Финансовое управление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Расходы по процентным платежам по муниципальному долгу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</w:pPr>
            <w:r>
              <w:rPr>
                <w:rFonts w:ascii="Times New Roman" w:hAnsi="Times New Roman"/>
                <w:bCs/>
              </w:rPr>
              <w:t xml:space="preserve">Финансовое управление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.1.1.1.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Проведение мониторинга состояния муниципального долга на превышение уровня долговой нагрузки муниципального образования «Город Майкоп» в соответствии с требованиями Бюджетного кодекса Российской Федерации (количество мониторингов),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.1.1.2.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Проведение мониторинга своевременного исполнения долговых обязательств муниципального образования «Город Майкоп»,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Причины невыполнения контрольных событий (выполнение менее 95 % от планового значения)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9135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Подпрограмма «</w:t>
            </w:r>
            <w:r>
              <w:rPr>
                <w:rFonts w:ascii="Times New Roman" w:hAnsi="Times New Roman"/>
              </w:rPr>
              <w:t xml:space="preserve">Обеспечение деятельности Финансового управления по организации и осуществлению бюджетного процесса в муниципальном образовании «Город Майкоп»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spacing w:after="0" w:line="140" w:lineRule="atLeast"/>
              <w:rPr>
                <w:rFonts w:ascii="Times New Roman" w:hAnsi="Times New Roman" w:eastAsia="Times New Roman"/>
                <w:bCs/>
                <w:color w:val="000000"/>
              </w:rPr>
              <w:outlineLvl w:val="0"/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Основное мероприятие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Организация и осуществление бюджетного процесса в муниципальном образовании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Разработка проекта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бюджета муниципального образования «Город Майкоп» на очередной финансовый год и на плановый период, формируемого в рамках муниципальных программ,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Проведение оценки качества финансового менеджмента главных распорядителей бюджетных средств,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изменений в бюджетный прогноз муниципального образования «Город Майкоп» на долгосрочный период до 2030 года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</w:t>
            </w:r>
            <w:r>
              <w:rPr>
                <w:rFonts w:ascii="Times New Roman" w:hAnsi="Times New Roman"/>
                <w:bCs/>
              </w:rPr>
              <w:t xml:space="preserve">4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Формирование бюджетной и налоговой политики муниципального образования «Город Майкоп», ед.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2.1.1.5.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Утверждение порядка и методики планирования бюджетных ассигнований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2.1.1.6.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Участие в семинарах, совещаниях, повышении квалификации, обеспечивающих необходимый профессиональный уровень,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.1.1.7.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Разработка брошюры «Бюджет для граждан»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.1.1.8.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изменений в Решение Совета народных депутатов муниципального образования «Город Майкоп» «О бюджете муниципального образования «Город Майкоп» на текущий финансовый год и на плановый период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  <w:t xml:space="preserve">.1.1.9.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Формирование отчета об исполнении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раз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Финансовое управление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Причины невыполнения контрольных событий (выполнение мен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ее 95 % от планового значения)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резуль</w:t>
      </w:r>
      <w:r>
        <w:rPr>
          <w:rFonts w:ascii="Times New Roman" w:hAnsi="Times New Roman"/>
          <w:sz w:val="28"/>
          <w:szCs w:val="28"/>
          <w:lang w:eastAsia="ar-SA"/>
        </w:rPr>
        <w:t xml:space="preserve">тате реализации мероприятий муниципальной программы, направленных на применение программно-целевого принципа планирования и исполнения бюджета муниципального образования «Город Майкоп», планируемые значения контрольных событий муниципальной программы в 202</w:t>
      </w:r>
      <w:r>
        <w:rPr>
          <w:rFonts w:ascii="Times New Roman" w:hAnsi="Times New Roman"/>
          <w:sz w:val="28"/>
          <w:szCs w:val="28"/>
          <w:lang w:eastAsia="ar-SA"/>
        </w:rPr>
        <w:t xml:space="preserve"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году </w:t>
      </w:r>
      <w:r>
        <w:rPr>
          <w:rFonts w:ascii="Times New Roman" w:hAnsi="Times New Roman"/>
          <w:sz w:val="28"/>
          <w:szCs w:val="28"/>
          <w:lang w:eastAsia="ar-SA"/>
        </w:rPr>
        <w:t xml:space="preserve">выполнены в полном объеме, за исключением двух событий, которые в связи с возникшей необходимостью перевыполнены.</w:t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0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Анализ факторов, повлиявших на ход реализации муниципальной программы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704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Основными факторами, повлиявшими на ход 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программы в отчетном году, явились: 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увеличение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налоговых и неналоговых доходов бюджета муниципального образования «Город Майкоп»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рост фонда оплаты труда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 рост доходности предпринимателей малого и среднего бизнеса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увеличение размера госпошлин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рост налогооблагаемой базы по налогу на имущество организаций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рост межбюджетных трансфертов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планирование объема муниципального долга и расходов на его обслуживание;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проведение операций с долговыми обязательствами, направленных на оптимизацию структуры муниципального долга (снижение потенциальных рисков) и сокращение расходов на его обслуживание;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отсутствие кредитов коммерческих банков с высокой процентной ставкой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повышени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заинтересованност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муниципальных служащих к проведению обучающих мероприятий по профессиональному развитию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что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позволило дополнительно повысить профессиональные компетенции муниципальных служащи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х и иных лиц Финансового 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и, как следствие, должно способствовать повышению качества муниципального 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Отчет об использовании бюджетных ассигнований бюджета муниципального образования «Город Майкоп» и иных средств (средств внебюджетных источников) на реализацию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представлен в таблице № 3.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№ 3</w:t>
      </w:r>
      <w:r>
        <w:rPr>
          <w:rFonts w:ascii="Times New Roman" w:hAnsi="Times New Roman"/>
        </w:rPr>
      </w:r>
    </w:p>
    <w:p>
      <w:pPr>
        <w:pStyle w:val="7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бюджета мун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ципального образования «Город Майкоп» </w:t>
      </w:r>
      <w:r>
        <w:rPr>
          <w:rFonts w:ascii="Times New Roman" w:hAnsi="Times New Roman"/>
          <w:color w:val="000000"/>
          <w:sz w:val="28"/>
          <w:szCs w:val="28"/>
        </w:rPr>
        <w:t xml:space="preserve">и иных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(средств внебюджетных источников) на реализацию муниципальной программы, подпрограмм муниципальной программы (обеспечивающей подпрограммы муниципальной программы)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</w:rPr>
        <w:t xml:space="preserve">(тыс.рублей)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851"/>
        <w:gridCol w:w="709"/>
        <w:gridCol w:w="708"/>
        <w:gridCol w:w="709"/>
        <w:gridCol w:w="1134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62"/>
          <w:tblHeader/>
        </w:trPr>
        <w:tc>
          <w:tcPr>
            <w:tcBorders>
              <w:top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Наименование муниципальной программы, подпрограммы, основного мероприятия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Расходы за счет средств бюджета муниципального образования «Город Майкоп»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Расходы за счет средств внебюджетных источников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Итого расходы на реализацию муниципальной программы</w:t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0"/>
          <w:tblHeader/>
        </w:trPr>
        <w:tc>
          <w:tcPr>
            <w:tcW w:w="1242" w:type="dxa"/>
            <w:vAlign w:val="top"/>
            <w:vMerge w:val="continue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Сводная бюджетная роспись на 31 декабря отчетного года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Кассовое исполнение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% исполнения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Уточненный план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Кассовое исполнение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% исполнения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Уточненный план на 31 декабря отчетного года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Кассовое исполнение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% исполнения</w:t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23608,8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23605,3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23608,8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23605,3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Подпрограмма «Управление муниципальным долгом»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Основное  мероприятие: Своевременное исполнение долговых обязательств муниципального образования «Город Майкоп» и расходов на их обслуживание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945,5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697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Подпрограмма «</w:t>
            </w:r>
            <w:r>
              <w:rPr>
                <w:rFonts w:ascii="Times New Roman" w:hAnsi="Times New Roman" w:eastAsia="Times New Roman"/>
              </w:rPr>
              <w:t xml:space="preserve">Обеспечение деятельности Финансового управления по организации и осуществлению</w:t>
            </w:r>
            <w:r>
              <w:rPr>
                <w:rFonts w:ascii="Times New Roman" w:hAnsi="Times New Roman" w:eastAsia="Times New Roman"/>
              </w:rPr>
              <w:t xml:space="preserve"> бюджетного процесса в муниципальном образовании «Город Майкоп"</w:t>
            </w:r>
            <w:r>
              <w:rPr>
                <w:rFonts w:ascii="Times New Roman" w:hAnsi="Times New Roman" w:eastAsia="Times New Roman"/>
              </w:rPr>
              <w:t xml:space="preserve">»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22663,2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22659,8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22663,2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22659,8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7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</w:p>
          <w:p>
            <w:pPr>
              <w:pStyle w:val="7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и осуществление бюджетного процесса в муниципальном образовании «Город Майкоп»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22663,2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22659,8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22663,2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22659,8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9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69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7"/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69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Информация о внесенных изменениях в муниципальную программу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отражен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следующей таблице: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97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97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 внесенных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изменениях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муниципальную программу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97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4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Нормативн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ый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правовой акт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Обоснование изменений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от 25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.01.2024 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 внесении изме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нений в муниципальную программу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Управление муниципальными финансами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Параметры приведены в соответствие с решением о бюджете муниципального образования «Город Майкоп» на 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годов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состоянию на 01.01.202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«Город Майкоп» от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13.08.2024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689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«О внесении изменений в муниципальную программу «Управление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муниципальными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финансами»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Параметры приведены в соответствие с решением о бюджете муниципального образования «Город Майкоп» на 20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годов»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      (в редакции Решения СНД от 31.07.2024 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59-рс)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от 31.10.2024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 922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 внесении изменения в 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от 10.12.2021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1358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Управление муниципальными финансами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Внесены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изменения в части ресурсного обеспечения по потребности на очередной финансовый год и на плановый период 2025-2027 годов, контрольных событий, добавив в программу и подпрограммы 2027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от 22.11.2024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 1012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Управление муниципальными финансами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Параметры приведены в соответствие с решением о бюджете муниципального образования «Город Майкоп» на 2024 год и на плановый период 2025-2026 годов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(в редакции Решения СНД от 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.2024 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-рс)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от 13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.12.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2024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1065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 внесении изменения в постановление Администрации муниципального образования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Город Майкоп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 от 10.12.2021 № 1358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Управление муниципальными финансами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Внесены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изменения в части: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- приведения 2024 года в соответствие с решением о бюджете муниципального образования «Город Майкоп» на 2024 год и на плановый период 2025 и 2026 годов;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697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-  ресурсного обеспечения по потребности на очередной финансовый год и на плановый период 2025-2027 годов, контрольных событий, добавив в пр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ограмму и подпрограммы 2027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697"/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70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97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26282f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color w:val="26282f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/>
          <w:b/>
          <w:bCs/>
          <w:color w:val="26282f"/>
          <w:sz w:val="28"/>
          <w:szCs w:val="28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2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Mangal">
    <w:panose1 w:val="02040503050406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12</w:t>
    </w:r>
    <w:r>
      <w:fldChar w:fldCharType="end"/>
    </w:r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97"/>
    <w:next w:val="69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7"/>
    <w:next w:val="69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7"/>
    <w:next w:val="69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7"/>
    <w:next w:val="69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7"/>
    <w:next w:val="69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7"/>
    <w:next w:val="69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7"/>
    <w:next w:val="69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7"/>
    <w:next w:val="69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7"/>
    <w:next w:val="69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9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7"/>
    <w:next w:val="69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97"/>
    <w:next w:val="69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97"/>
    <w:next w:val="69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7"/>
    <w:next w:val="69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9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97"/>
    <w:next w:val="69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9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9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next w:val="697"/>
    <w:link w:val="69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98">
    <w:name w:val="Заголовок 1"/>
    <w:basedOn w:val="697"/>
    <w:next w:val="697"/>
    <w:link w:val="702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699">
    <w:name w:val="Основной шрифт абзаца"/>
    <w:next w:val="699"/>
    <w:link w:val="697"/>
    <w:uiPriority w:val="1"/>
    <w:unhideWhenUsed/>
  </w:style>
  <w:style w:type="table" w:styleId="700">
    <w:name w:val="Обычная таблица"/>
    <w:next w:val="700"/>
    <w:link w:val="697"/>
    <w:uiPriority w:val="99"/>
    <w:semiHidden/>
    <w:unhideWhenUsed/>
    <w:tblPr/>
  </w:style>
  <w:style w:type="numbering" w:styleId="701">
    <w:name w:val="Нет списка"/>
    <w:next w:val="701"/>
    <w:link w:val="697"/>
    <w:uiPriority w:val="99"/>
    <w:semiHidden/>
    <w:unhideWhenUsed/>
  </w:style>
  <w:style w:type="character" w:styleId="702">
    <w:name w:val="Заголовок 1 Знак"/>
    <w:next w:val="702"/>
    <w:link w:val="698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703">
    <w:name w:val="Обычный (веб)"/>
    <w:basedOn w:val="697"/>
    <w:next w:val="703"/>
    <w:link w:val="6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04">
    <w:name w:val="Без интервала"/>
    <w:next w:val="704"/>
    <w:link w:val="697"/>
    <w:uiPriority w:val="1"/>
    <w:qFormat/>
    <w:rPr>
      <w:sz w:val="22"/>
      <w:szCs w:val="22"/>
      <w:lang w:val="ru-RU" w:eastAsia="en-US" w:bidi="ar-SA"/>
    </w:rPr>
  </w:style>
  <w:style w:type="paragraph" w:styleId="705">
    <w:name w:val="Прижатый влево"/>
    <w:basedOn w:val="697"/>
    <w:next w:val="697"/>
    <w:link w:val="697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706">
    <w:name w:val="Текст выноски"/>
    <w:basedOn w:val="697"/>
    <w:next w:val="706"/>
    <w:link w:val="70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707">
    <w:name w:val="Текст выноски Знак"/>
    <w:next w:val="707"/>
    <w:link w:val="70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708">
    <w:name w:val="Основной текст с отступом"/>
    <w:basedOn w:val="697"/>
    <w:next w:val="708"/>
    <w:link w:val="709"/>
    <w:uiPriority w:val="99"/>
    <w:unhideWhenUsed/>
    <w:pPr>
      <w:ind w:left="283"/>
      <w:spacing w:after="120"/>
    </w:pPr>
    <w:rPr>
      <w:lang w:val="en-US"/>
    </w:rPr>
  </w:style>
  <w:style w:type="character" w:styleId="709">
    <w:name w:val="Основной текст с отступом Знак"/>
    <w:next w:val="709"/>
    <w:link w:val="708"/>
    <w:uiPriority w:val="99"/>
    <w:rPr>
      <w:sz w:val="22"/>
      <w:szCs w:val="22"/>
      <w:lang w:eastAsia="en-US"/>
    </w:rPr>
  </w:style>
  <w:style w:type="paragraph" w:styleId="710">
    <w:name w:val="Нормальный (таблица)"/>
    <w:basedOn w:val="697"/>
    <w:next w:val="697"/>
    <w:link w:val="697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table" w:styleId="711">
    <w:name w:val="Сетка таблицы"/>
    <w:basedOn w:val="700"/>
    <w:next w:val="711"/>
    <w:link w:val="697"/>
    <w:uiPriority w:val="39"/>
    <w:rPr>
      <w:rFonts w:ascii="Calibri" w:hAnsi="Calibri" w:eastAsia="Times New Roman" w:cs="Times New Roman"/>
      <w:sz w:val="22"/>
      <w:szCs w:val="22"/>
    </w:rPr>
    <w:tblPr/>
  </w:style>
  <w:style w:type="character" w:styleId="712">
    <w:name w:val="Цветовое выделение"/>
    <w:next w:val="712"/>
    <w:link w:val="697"/>
    <w:uiPriority w:val="99"/>
    <w:rPr>
      <w:b/>
      <w:color w:val="26282f"/>
    </w:rPr>
  </w:style>
  <w:style w:type="paragraph" w:styleId="713">
    <w:name w:val="Верхний колонтитул"/>
    <w:basedOn w:val="697"/>
    <w:next w:val="713"/>
    <w:link w:val="71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4">
    <w:name w:val="Верхний колонтитул Знак"/>
    <w:next w:val="714"/>
    <w:link w:val="713"/>
    <w:uiPriority w:val="99"/>
    <w:rPr>
      <w:sz w:val="22"/>
      <w:szCs w:val="22"/>
      <w:lang w:eastAsia="en-US"/>
    </w:rPr>
  </w:style>
  <w:style w:type="paragraph" w:styleId="715">
    <w:name w:val="Нижний колонтитул"/>
    <w:basedOn w:val="697"/>
    <w:next w:val="715"/>
    <w:link w:val="71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6">
    <w:name w:val="Нижний колонтитул Знак"/>
    <w:next w:val="716"/>
    <w:link w:val="715"/>
    <w:uiPriority w:val="99"/>
    <w:rPr>
      <w:sz w:val="22"/>
      <w:szCs w:val="22"/>
      <w:lang w:eastAsia="en-US"/>
    </w:rPr>
  </w:style>
  <w:style w:type="paragraph" w:styleId="717">
    <w:name w:val="ConsPlusNormal"/>
    <w:next w:val="717"/>
    <w:link w:val="697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718">
    <w:name w:val="Сетка таблицы1"/>
    <w:basedOn w:val="700"/>
    <w:next w:val="711"/>
    <w:link w:val="697"/>
    <w:uiPriority w:val="39"/>
    <w:rPr>
      <w:rFonts w:eastAsia="Times New Roman" w:cs="Calibri"/>
    </w:rPr>
    <w:tblPr/>
  </w:style>
  <w:style w:type="table" w:styleId="719">
    <w:name w:val="Сетка таблицы2"/>
    <w:basedOn w:val="700"/>
    <w:next w:val="711"/>
    <w:link w:val="697"/>
    <w:uiPriority w:val="39"/>
    <w:rPr>
      <w:rFonts w:ascii="Calibri" w:hAnsi="Calibri" w:eastAsia="SimSun" w:cs="Mangal"/>
      <w:sz w:val="22"/>
      <w:szCs w:val="22"/>
    </w:rPr>
    <w:tblPr/>
  </w:style>
  <w:style w:type="paragraph" w:styleId="720">
    <w:name w:val="s_16"/>
    <w:basedOn w:val="697"/>
    <w:next w:val="720"/>
    <w:link w:val="69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 w:bidi="hi-IN"/>
    </w:rPr>
  </w:style>
  <w:style w:type="character" w:styleId="5308" w:default="1">
    <w:name w:val="Default Paragraph Font"/>
    <w:uiPriority w:val="1"/>
    <w:semiHidden/>
    <w:unhideWhenUsed/>
  </w:style>
  <w:style w:type="numbering" w:styleId="5309" w:default="1">
    <w:name w:val="No List"/>
    <w:uiPriority w:val="99"/>
    <w:semiHidden/>
    <w:unhideWhenUsed/>
  </w:style>
  <w:style w:type="table" w:styleId="53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Финансовое управление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Аракелян</dc:creator>
  <cp:lastModifiedBy>Филоненко Е.Е.</cp:lastModifiedBy>
  <cp:revision>217</cp:revision>
  <dcterms:created xsi:type="dcterms:W3CDTF">2023-02-27T19:42:00Z</dcterms:created>
  <dcterms:modified xsi:type="dcterms:W3CDTF">2026-03-30T14:25:33Z</dcterms:modified>
  <cp:version>983040</cp:version>
</cp:coreProperties>
</file>