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F4BF" w14:textId="77777777" w:rsidR="000D57D0" w:rsidRPr="00C34538" w:rsidRDefault="007D15FE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Годовой отчет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ходе реализации муниципальной программы</w:t>
      </w:r>
    </w:p>
    <w:p w14:paraId="46D6307B" w14:textId="77777777" w:rsidR="000D57D0" w:rsidRDefault="007D15FE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C0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общественного пассажирского транспорта в муниципальном </w:t>
      </w:r>
      <w:r w:rsidR="007C01A1" w:rsidRPr="00642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образовании «Город Майкоп»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</w:t>
      </w:r>
      <w:r w:rsidR="004F4D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61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году.</w:t>
      </w:r>
    </w:p>
    <w:p w14:paraId="220ECA82" w14:textId="77777777" w:rsidR="00812460" w:rsidRPr="00642661" w:rsidRDefault="00812460" w:rsidP="00812460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7B9F51" w14:textId="77777777" w:rsidR="00A15AD8" w:rsidRDefault="007D15FE" w:rsidP="00B012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7C01A1" w:rsidRPr="00642661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общественного пассажирского транспорта в муниципальном образовании «Город Майкоп»</w:t>
      </w:r>
      <w:r w:rsidRPr="00642661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муниципального образования «Город Майкоп» от </w:t>
      </w:r>
      <w:r w:rsidR="007C01A1" w:rsidRPr="00642661">
        <w:rPr>
          <w:rFonts w:ascii="Times New Roman" w:hAnsi="Times New Roman" w:cs="Times New Roman"/>
          <w:sz w:val="28"/>
          <w:szCs w:val="28"/>
        </w:rPr>
        <w:t>02.11</w:t>
      </w:r>
      <w:r w:rsidRPr="00642661">
        <w:rPr>
          <w:rFonts w:ascii="Times New Roman" w:hAnsi="Times New Roman" w:cs="Times New Roman"/>
          <w:sz w:val="28"/>
          <w:szCs w:val="28"/>
        </w:rPr>
        <w:t>.20</w:t>
      </w:r>
      <w:r w:rsidR="007C01A1" w:rsidRPr="00642661">
        <w:rPr>
          <w:rFonts w:ascii="Times New Roman" w:hAnsi="Times New Roman" w:cs="Times New Roman"/>
          <w:sz w:val="28"/>
          <w:szCs w:val="28"/>
        </w:rPr>
        <w:t>21</w:t>
      </w:r>
      <w:r w:rsidRPr="00642661">
        <w:rPr>
          <w:rFonts w:ascii="Times New Roman" w:hAnsi="Times New Roman" w:cs="Times New Roman"/>
          <w:sz w:val="28"/>
          <w:szCs w:val="28"/>
        </w:rPr>
        <w:t xml:space="preserve"> № 1</w:t>
      </w:r>
      <w:r w:rsidR="007C01A1" w:rsidRPr="00642661">
        <w:rPr>
          <w:rFonts w:ascii="Times New Roman" w:hAnsi="Times New Roman" w:cs="Times New Roman"/>
          <w:sz w:val="28"/>
          <w:szCs w:val="28"/>
        </w:rPr>
        <w:t>161</w:t>
      </w:r>
      <w:r w:rsidRPr="00642661">
        <w:rPr>
          <w:rFonts w:ascii="Times New Roman" w:hAnsi="Times New Roman" w:cs="Times New Roman"/>
          <w:sz w:val="28"/>
          <w:szCs w:val="28"/>
        </w:rPr>
        <w:t>,</w:t>
      </w:r>
      <w:r w:rsidR="00A639CD" w:rsidRPr="00642661">
        <w:rPr>
          <w:rFonts w:ascii="Times New Roman" w:hAnsi="Times New Roman" w:cs="Times New Roman"/>
          <w:sz w:val="28"/>
          <w:szCs w:val="28"/>
        </w:rPr>
        <w:t xml:space="preserve"> </w:t>
      </w:r>
      <w:r w:rsidRPr="00642661">
        <w:rPr>
          <w:rFonts w:ascii="Times New Roman" w:hAnsi="Times New Roman" w:cs="Times New Roman"/>
          <w:sz w:val="28"/>
          <w:szCs w:val="28"/>
        </w:rPr>
        <w:t>является инструментом реализации государственной политики в области ра</w:t>
      </w:r>
      <w:r w:rsidR="00F545AD">
        <w:rPr>
          <w:rFonts w:ascii="Times New Roman" w:hAnsi="Times New Roman" w:cs="Times New Roman"/>
          <w:sz w:val="28"/>
          <w:szCs w:val="28"/>
        </w:rPr>
        <w:t xml:space="preserve">звития общественного транспорта </w:t>
      </w:r>
      <w:r w:rsidR="00F545AD" w:rsidRPr="00F545AD">
        <w:rPr>
          <w:rFonts w:ascii="Times New Roman" w:hAnsi="Times New Roman" w:cs="Times New Roman"/>
          <w:sz w:val="28"/>
          <w:szCs w:val="28"/>
        </w:rPr>
        <w:t>в муниципальном образовании «Город Майкоп»</w:t>
      </w:r>
      <w:r w:rsidR="00F545AD">
        <w:rPr>
          <w:rFonts w:ascii="Times New Roman" w:hAnsi="Times New Roman" w:cs="Times New Roman"/>
          <w:sz w:val="28"/>
          <w:szCs w:val="28"/>
        </w:rPr>
        <w:t>.</w:t>
      </w:r>
      <w:r w:rsidRPr="00642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BA1D9" w14:textId="77777777" w:rsidR="00F334E2" w:rsidRDefault="00F334E2" w:rsidP="00A15A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пассажирский транспорт общего пользования является важнейшим элементом транспортной системы, который обеспечивает ежедневное транспортное передвижение населения города.</w:t>
      </w:r>
    </w:p>
    <w:p w14:paraId="769CB6E1" w14:textId="77777777" w:rsidR="00A15AD8" w:rsidRDefault="00F334E2" w:rsidP="003E27D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F4D6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в рам</w:t>
      </w:r>
      <w:r w:rsidR="00B6187E">
        <w:rPr>
          <w:rFonts w:ascii="Times New Roman" w:hAnsi="Times New Roman" w:cs="Times New Roman"/>
          <w:sz w:val="28"/>
          <w:szCs w:val="28"/>
        </w:rPr>
        <w:t>ках муниципальной программы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ряд мероприятий, направленных на выполнение </w:t>
      </w:r>
      <w:r w:rsidR="00B6187E">
        <w:rPr>
          <w:rFonts w:ascii="Times New Roman" w:hAnsi="Times New Roman" w:cs="Times New Roman"/>
          <w:sz w:val="28"/>
          <w:szCs w:val="28"/>
        </w:rPr>
        <w:t>стратегической цели</w:t>
      </w:r>
      <w:r w:rsidR="003E27D9">
        <w:rPr>
          <w:rFonts w:ascii="Times New Roman" w:hAnsi="Times New Roman" w:cs="Times New Roman"/>
          <w:sz w:val="28"/>
          <w:szCs w:val="28"/>
        </w:rPr>
        <w:t>:</w:t>
      </w:r>
    </w:p>
    <w:p w14:paraId="7520C6A7" w14:textId="77777777" w:rsidR="00B6187E" w:rsidRDefault="00B6187E" w:rsidP="00A15A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город, обладающий доступной, качественной и адресной системой</w:t>
      </w:r>
      <w:r w:rsidR="003E27D9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населения,</w:t>
      </w:r>
    </w:p>
    <w:p w14:paraId="0571EAAF" w14:textId="77777777" w:rsidR="003E27D9" w:rsidRPr="00A15AD8" w:rsidRDefault="003E27D9" w:rsidP="00A15AD8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решение стратегических задач:</w:t>
      </w:r>
    </w:p>
    <w:p w14:paraId="7E44F258" w14:textId="77777777" w:rsidR="00B012CA" w:rsidRPr="00B012CA" w:rsidRDefault="00B012CA" w:rsidP="00B012C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012CA">
        <w:rPr>
          <w:rFonts w:ascii="Times New Roman" w:hAnsi="Times New Roman" w:cs="Times New Roman"/>
          <w:sz w:val="28"/>
          <w:szCs w:val="28"/>
        </w:rPr>
        <w:t>асширение перечня и качества предоставляемых социальных услуг с учетом потребности населения.</w:t>
      </w:r>
    </w:p>
    <w:p w14:paraId="361211B5" w14:textId="77777777" w:rsidR="00B012CA" w:rsidRPr="00B012CA" w:rsidRDefault="00B012CA" w:rsidP="00B012C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012CA">
        <w:rPr>
          <w:rFonts w:ascii="Times New Roman" w:hAnsi="Times New Roman" w:cs="Times New Roman"/>
          <w:sz w:val="28"/>
          <w:szCs w:val="28"/>
        </w:rPr>
        <w:t>оздание условий для интеграции лиц с инвалидностью в общество.</w:t>
      </w:r>
    </w:p>
    <w:p w14:paraId="6E3E0A6B" w14:textId="77777777" w:rsidR="00B012CA" w:rsidRDefault="00B012CA" w:rsidP="00B012C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012CA">
        <w:rPr>
          <w:rFonts w:ascii="Times New Roman" w:hAnsi="Times New Roman" w:cs="Times New Roman"/>
          <w:sz w:val="28"/>
          <w:szCs w:val="28"/>
        </w:rPr>
        <w:t xml:space="preserve">азвитие системы социальной поддержки, характеризующейся адресностью и </w:t>
      </w:r>
      <w:proofErr w:type="spellStart"/>
      <w:r w:rsidRPr="00B012CA">
        <w:rPr>
          <w:rFonts w:ascii="Times New Roman" w:hAnsi="Times New Roman" w:cs="Times New Roman"/>
          <w:sz w:val="28"/>
          <w:szCs w:val="28"/>
        </w:rPr>
        <w:t>персонифицированностью</w:t>
      </w:r>
      <w:proofErr w:type="spellEnd"/>
      <w:r w:rsidRPr="00B012CA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при акти</w:t>
      </w:r>
      <w:r>
        <w:rPr>
          <w:rFonts w:ascii="Times New Roman" w:hAnsi="Times New Roman" w:cs="Times New Roman"/>
          <w:sz w:val="28"/>
          <w:szCs w:val="28"/>
        </w:rPr>
        <w:t>вном участии бизнеса и общества;</w:t>
      </w:r>
    </w:p>
    <w:p w14:paraId="5D229784" w14:textId="77777777"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реализацию мероприятий, направленных на:</w:t>
      </w:r>
    </w:p>
    <w:p w14:paraId="131B8B7B" w14:textId="77777777"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маршрутной сети городского общественного транспорта; </w:t>
      </w:r>
    </w:p>
    <w:p w14:paraId="22C2B012" w14:textId="77777777"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модернизацию и обновление парка городского общественного транспорта; </w:t>
      </w:r>
    </w:p>
    <w:p w14:paraId="21E979D5" w14:textId="77777777" w:rsidR="00B6187E" w:rsidRDefault="00B6187E" w:rsidP="00F334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комфорта и безопасности городского общественного транспорта.</w:t>
      </w:r>
    </w:p>
    <w:p w14:paraId="14F3AB4F" w14:textId="77777777" w:rsidR="008C6147" w:rsidRDefault="008C6147" w:rsidP="0081246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FC1C0" w14:textId="77777777" w:rsidR="00F629E4" w:rsidRPr="00F629E4" w:rsidRDefault="007D15FE" w:rsidP="0081246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29E4" w:rsidRPr="00F629E4" w:rsidSect="00B012CA">
          <w:pgSz w:w="11906" w:h="16838"/>
          <w:pgMar w:top="851" w:right="1133" w:bottom="568" w:left="1701" w:header="709" w:footer="709" w:gutter="0"/>
          <w:cols w:space="708"/>
          <w:docGrid w:linePitch="360"/>
        </w:sectPr>
      </w:pPr>
      <w:r w:rsidRPr="003A6B1E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</w:t>
      </w:r>
      <w:r w:rsidR="004F4D6B">
        <w:rPr>
          <w:rFonts w:ascii="Times New Roman" w:hAnsi="Times New Roman" w:cs="Times New Roman"/>
          <w:sz w:val="28"/>
          <w:szCs w:val="28"/>
        </w:rPr>
        <w:t>24</w:t>
      </w:r>
      <w:r w:rsidR="00812460">
        <w:rPr>
          <w:rFonts w:ascii="Times New Roman" w:hAnsi="Times New Roman" w:cs="Times New Roman"/>
          <w:sz w:val="28"/>
          <w:szCs w:val="28"/>
        </w:rPr>
        <w:t xml:space="preserve"> год приведены в Таблице№1</w:t>
      </w:r>
    </w:p>
    <w:p w14:paraId="08B8CA9B" w14:textId="77777777" w:rsidR="00F629E4" w:rsidRDefault="00F629E4" w:rsidP="00F629E4">
      <w:pPr>
        <w:spacing w:after="0"/>
        <w:ind w:right="-2"/>
        <w:rPr>
          <w:rFonts w:ascii="Times New Roman" w:hAnsi="Times New Roman"/>
          <w:bCs/>
          <w:sz w:val="28"/>
          <w:szCs w:val="28"/>
        </w:rPr>
      </w:pPr>
    </w:p>
    <w:p w14:paraId="34414658" w14:textId="77777777" w:rsidR="007D15FE" w:rsidRPr="003A6B1E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sz w:val="28"/>
          <w:szCs w:val="28"/>
        </w:rPr>
      </w:pPr>
      <w:r w:rsidRPr="003A6B1E">
        <w:rPr>
          <w:rFonts w:ascii="Times New Roman" w:hAnsi="Times New Roman"/>
          <w:bCs/>
          <w:sz w:val="28"/>
          <w:szCs w:val="28"/>
        </w:rPr>
        <w:t>Таблица № 1</w:t>
      </w:r>
    </w:p>
    <w:p w14:paraId="473473FC" w14:textId="77777777" w:rsidR="00F629E4" w:rsidRDefault="00F629E4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14:paraId="42527878" w14:textId="77777777" w:rsidR="007D15FE" w:rsidRDefault="00A43EE7" w:rsidP="007D15FE">
      <w:pPr>
        <w:spacing w:after="0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A43EE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 (обеспечивающей подпрограммы муниципальной программы)</w:t>
      </w:r>
    </w:p>
    <w:p w14:paraId="70E458FA" w14:textId="77777777" w:rsidR="00A43EE7" w:rsidRPr="00A43EE7" w:rsidRDefault="00A43EE7" w:rsidP="00863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144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2126"/>
        <w:gridCol w:w="1276"/>
        <w:gridCol w:w="1588"/>
        <w:gridCol w:w="1564"/>
      </w:tblGrid>
      <w:tr w:rsidR="00A43EE7" w:rsidRPr="00A43EE7" w14:paraId="28322BEA" w14:textId="77777777" w:rsidTr="009B4E53">
        <w:tc>
          <w:tcPr>
            <w:tcW w:w="568" w:type="dxa"/>
            <w:vMerge w:val="restart"/>
            <w:vAlign w:val="center"/>
          </w:tcPr>
          <w:p w14:paraId="0336504E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14:paraId="55B37FF3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14:paraId="62406F49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14:paraId="5CFA247A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14:paraId="035637D0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vAlign w:val="center"/>
          </w:tcPr>
          <w:p w14:paraId="1DA7D1B9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A2571A9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90" w:type="dxa"/>
            <w:gridSpan w:val="3"/>
            <w:vAlign w:val="center"/>
          </w:tcPr>
          <w:p w14:paraId="198636DD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  <w:p w14:paraId="4CF3874A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(индикаторов) муниципальной</w:t>
            </w:r>
          </w:p>
          <w:p w14:paraId="3599F4E8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560" w:type="dxa"/>
            <w:vMerge w:val="restart"/>
            <w:vAlign w:val="center"/>
          </w:tcPr>
          <w:p w14:paraId="6E5525A5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14:paraId="53922214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14:paraId="4CB944E5" w14:textId="77777777" w:rsidTr="009B4E53">
        <w:tc>
          <w:tcPr>
            <w:tcW w:w="568" w:type="dxa"/>
            <w:vMerge/>
          </w:tcPr>
          <w:p w14:paraId="27CB70E6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42B6E692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DB83FA9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06F2152" w14:textId="77777777" w:rsidR="00A43EE7" w:rsidRPr="00A43EE7" w:rsidRDefault="00A43A02" w:rsidP="004F4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4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gridSpan w:val="2"/>
            <w:vAlign w:val="center"/>
          </w:tcPr>
          <w:p w14:paraId="625E020E" w14:textId="77777777" w:rsidR="00A43EE7" w:rsidRPr="00A43EE7" w:rsidRDefault="00A43A02" w:rsidP="004F4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4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14:paraId="4B81C6ED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14:paraId="535FE845" w14:textId="77777777" w:rsidTr="009B4E53">
        <w:tc>
          <w:tcPr>
            <w:tcW w:w="568" w:type="dxa"/>
            <w:vMerge/>
          </w:tcPr>
          <w:p w14:paraId="7A94D403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3A967A97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E9C44E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81CA8D2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855AE0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8" w:type="dxa"/>
            <w:vAlign w:val="center"/>
          </w:tcPr>
          <w:p w14:paraId="3CFC345E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14:paraId="3271D0B1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38" w:rsidRPr="00A43EE7" w14:paraId="2A68EA4B" w14:textId="77777777" w:rsidTr="009B4E53">
        <w:tc>
          <w:tcPr>
            <w:tcW w:w="568" w:type="dxa"/>
          </w:tcPr>
          <w:p w14:paraId="215E9455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46D3E9F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E082704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9CD8259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C0E4528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3A7FEB8B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87C0F6F" w14:textId="77777777" w:rsidR="00A43EE7" w:rsidRPr="00A43EE7" w:rsidRDefault="00A43EE7" w:rsidP="00A43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E7" w:rsidRPr="00A43EE7" w14:paraId="5D3F73F5" w14:textId="77777777" w:rsidTr="009B4E53">
        <w:trPr>
          <w:trHeight w:val="615"/>
        </w:trPr>
        <w:tc>
          <w:tcPr>
            <w:tcW w:w="14493" w:type="dxa"/>
            <w:gridSpan w:val="7"/>
            <w:vAlign w:val="center"/>
          </w:tcPr>
          <w:p w14:paraId="15F11857" w14:textId="77777777" w:rsidR="00A43EE7" w:rsidRPr="00A43EE7" w:rsidRDefault="00A43EE7" w:rsidP="00A4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общественного пассажирского транспорта в муниципальном </w:t>
            </w:r>
            <w:r w:rsidRPr="00A43EE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образовании «Город Майкоп»</w:t>
            </w:r>
          </w:p>
        </w:tc>
      </w:tr>
      <w:tr w:rsidR="00433A38" w:rsidRPr="00A43EE7" w14:paraId="6F9E6767" w14:textId="77777777" w:rsidTr="009B4E53">
        <w:tc>
          <w:tcPr>
            <w:tcW w:w="568" w:type="dxa"/>
            <w:vAlign w:val="center"/>
          </w:tcPr>
          <w:p w14:paraId="66505A3D" w14:textId="77777777" w:rsidR="00A43EE7" w:rsidRPr="00A43EE7" w:rsidRDefault="00A43EE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33A2C701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пассажиров, воспользовавшихся правом льготного проезда на городском наземном электрическом транспорте.</w:t>
            </w:r>
          </w:p>
        </w:tc>
        <w:tc>
          <w:tcPr>
            <w:tcW w:w="1418" w:type="dxa"/>
            <w:vAlign w:val="center"/>
          </w:tcPr>
          <w:p w14:paraId="06B939F9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14:paraId="0AF1B950" w14:textId="4C70F323" w:rsidR="00A43EE7" w:rsidRPr="00D63266" w:rsidRDefault="00D63266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776880</w:t>
            </w:r>
          </w:p>
        </w:tc>
        <w:tc>
          <w:tcPr>
            <w:tcW w:w="1276" w:type="dxa"/>
            <w:vAlign w:val="center"/>
          </w:tcPr>
          <w:p w14:paraId="765ED9D9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739560</w:t>
            </w:r>
          </w:p>
        </w:tc>
        <w:tc>
          <w:tcPr>
            <w:tcW w:w="1588" w:type="dxa"/>
            <w:vAlign w:val="center"/>
          </w:tcPr>
          <w:p w14:paraId="2FD844FB" w14:textId="2D5731DC" w:rsidR="00A43EE7" w:rsidRPr="004B76DC" w:rsidRDefault="00AC6D1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C">
              <w:rPr>
                <w:rFonts w:ascii="Times New Roman" w:hAnsi="Times New Roman" w:cs="Times New Roman"/>
                <w:sz w:val="24"/>
                <w:szCs w:val="24"/>
              </w:rPr>
              <w:t>800940</w:t>
            </w:r>
          </w:p>
        </w:tc>
        <w:tc>
          <w:tcPr>
            <w:tcW w:w="1560" w:type="dxa"/>
            <w:vAlign w:val="center"/>
          </w:tcPr>
          <w:p w14:paraId="16DB216F" w14:textId="1B640F5F" w:rsidR="00A43EE7" w:rsidRPr="004B76DC" w:rsidRDefault="00AC6D1B" w:rsidP="0081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C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433A38" w:rsidRPr="00A43EE7" w14:paraId="562B3DB0" w14:textId="77777777" w:rsidTr="009B4E53">
        <w:tc>
          <w:tcPr>
            <w:tcW w:w="568" w:type="dxa"/>
            <w:vAlign w:val="center"/>
          </w:tcPr>
          <w:p w14:paraId="2AF1D095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EE7"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14:paraId="19DBA8D7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Выполнение расписания движения городского  наземного электрического транспорта.</w:t>
            </w:r>
          </w:p>
        </w:tc>
        <w:tc>
          <w:tcPr>
            <w:tcW w:w="1418" w:type="dxa"/>
            <w:vAlign w:val="center"/>
          </w:tcPr>
          <w:p w14:paraId="1AE9093D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7914276C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6B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76" w:type="dxa"/>
            <w:vAlign w:val="center"/>
          </w:tcPr>
          <w:p w14:paraId="15395844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8" w:type="dxa"/>
            <w:vAlign w:val="center"/>
          </w:tcPr>
          <w:p w14:paraId="53FBF042" w14:textId="065F300A" w:rsidR="00A43EE7" w:rsidRPr="004B76DC" w:rsidRDefault="00AC6D1B" w:rsidP="0076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C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560" w:type="dxa"/>
            <w:vAlign w:val="center"/>
          </w:tcPr>
          <w:p w14:paraId="033CFFBA" w14:textId="493EDEA6" w:rsidR="00A43EE7" w:rsidRPr="004B76DC" w:rsidRDefault="00AC6D1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C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433A38" w:rsidRPr="00A43EE7" w14:paraId="21E9A083" w14:textId="77777777" w:rsidTr="009B4E53">
        <w:tc>
          <w:tcPr>
            <w:tcW w:w="568" w:type="dxa"/>
            <w:vAlign w:val="center"/>
          </w:tcPr>
          <w:p w14:paraId="53EA6ED7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EE7"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14:paraId="63AB2025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новых троллейбусов, в том числе приспособленных для перевозки маломобильных групп населения (нарастающим итогом).</w:t>
            </w:r>
          </w:p>
        </w:tc>
        <w:tc>
          <w:tcPr>
            <w:tcW w:w="1418" w:type="dxa"/>
            <w:vAlign w:val="center"/>
          </w:tcPr>
          <w:p w14:paraId="36FD16D1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vAlign w:val="center"/>
          </w:tcPr>
          <w:p w14:paraId="26610E91" w14:textId="77777777" w:rsidR="00A43EE7" w:rsidRPr="00A43EE7" w:rsidRDefault="008C6147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478A4D1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5357E574" w14:textId="77777777" w:rsidR="00A43EE7" w:rsidRPr="007B3CDF" w:rsidRDefault="0081246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B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6E0A72F9" w14:textId="77777777" w:rsidR="00A43EE7" w:rsidRPr="002126CA" w:rsidRDefault="00812460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A38" w:rsidRPr="00A43EE7" w14:paraId="32C2D31D" w14:textId="77777777" w:rsidTr="009B4E53">
        <w:tc>
          <w:tcPr>
            <w:tcW w:w="568" w:type="dxa"/>
            <w:vAlign w:val="center"/>
          </w:tcPr>
          <w:p w14:paraId="1ABF845B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EE7" w:rsidRPr="00A4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14:paraId="40454477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проверок по обследованию наземного </w:t>
            </w:r>
            <w:r w:rsidR="00642661" w:rsidRPr="00433A3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642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2661" w:rsidRPr="00433A38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 w:rsidRPr="00433A3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на соблюдение правил перевозки пассажиров (нарастающим итогом)</w:t>
            </w:r>
          </w:p>
        </w:tc>
        <w:tc>
          <w:tcPr>
            <w:tcW w:w="1418" w:type="dxa"/>
            <w:vAlign w:val="center"/>
          </w:tcPr>
          <w:p w14:paraId="3C6065EB" w14:textId="77777777" w:rsidR="00A43EE7" w:rsidRPr="00A43EE7" w:rsidRDefault="00433A38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vAlign w:val="center"/>
          </w:tcPr>
          <w:p w14:paraId="5932B64C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98857DB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center"/>
          </w:tcPr>
          <w:p w14:paraId="4E9F22A8" w14:textId="77777777" w:rsidR="00A43EE7" w:rsidRPr="00A43EE7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4A01666A" w14:textId="77777777" w:rsidR="00A43EE7" w:rsidRPr="00A43EE7" w:rsidRDefault="00642661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59FD" w:rsidRPr="00A43EE7" w14:paraId="0F180AB5" w14:textId="77777777" w:rsidTr="004B76DC">
        <w:tc>
          <w:tcPr>
            <w:tcW w:w="568" w:type="dxa"/>
            <w:vAlign w:val="center"/>
          </w:tcPr>
          <w:p w14:paraId="7729DADF" w14:textId="77777777" w:rsidR="007459FD" w:rsidRDefault="007459FD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1BBE86F6" w14:textId="77777777" w:rsidR="007459FD" w:rsidRPr="00433A38" w:rsidRDefault="007459FD" w:rsidP="00433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новых приобретенных (или обновленных) автобусов для работы по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5A5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регулируемым тарифам на муниципальных маршрутах регулярных перевозок к общему количеству автобусов средней вместимости по утвержденным реестрам на муниципальных маршрутах</w:t>
            </w:r>
          </w:p>
        </w:tc>
        <w:tc>
          <w:tcPr>
            <w:tcW w:w="1418" w:type="dxa"/>
            <w:vAlign w:val="center"/>
          </w:tcPr>
          <w:p w14:paraId="774C5F35" w14:textId="77777777" w:rsidR="007459FD" w:rsidRDefault="004D03CF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47ED7E46" w14:textId="77777777" w:rsidR="007459FD" w:rsidRDefault="004F4D6B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vAlign w:val="center"/>
          </w:tcPr>
          <w:p w14:paraId="7D120D61" w14:textId="77777777" w:rsidR="007459FD" w:rsidRDefault="007B3CDF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8984D28" w14:textId="256AF839" w:rsidR="009B4E53" w:rsidRPr="00D63266" w:rsidRDefault="00437FE2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91,1</w:t>
            </w:r>
          </w:p>
        </w:tc>
        <w:tc>
          <w:tcPr>
            <w:tcW w:w="1560" w:type="dxa"/>
            <w:vAlign w:val="center"/>
          </w:tcPr>
          <w:p w14:paraId="45D4C861" w14:textId="7E3056EB" w:rsidR="009B4E53" w:rsidRPr="00D63266" w:rsidRDefault="00437FE2" w:rsidP="0043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99,0</w:t>
            </w:r>
          </w:p>
        </w:tc>
      </w:tr>
    </w:tbl>
    <w:p w14:paraId="285F7096" w14:textId="77777777" w:rsidR="00433A38" w:rsidRDefault="00433A38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6EF21F" w14:textId="77777777" w:rsidR="004F4AC6" w:rsidRDefault="004F4AC6" w:rsidP="00863C1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F4AC6" w:rsidSect="00591BAE">
          <w:pgSz w:w="16838" w:h="11906" w:orient="landscape"/>
          <w:pgMar w:top="1134" w:right="1701" w:bottom="1134" w:left="1134" w:header="709" w:footer="709" w:gutter="0"/>
          <w:cols w:space="708"/>
          <w:docGrid w:linePitch="360"/>
        </w:sectPr>
      </w:pPr>
    </w:p>
    <w:p w14:paraId="6B4B81FA" w14:textId="77777777" w:rsidR="00863C1A" w:rsidRPr="00C34538" w:rsidRDefault="00863C1A" w:rsidP="00863C1A">
      <w:pPr>
        <w:spacing w:after="0"/>
        <w:rPr>
          <w:rFonts w:ascii="Times New Roman" w:hAnsi="Times New Roman"/>
          <w:color w:val="000000" w:themeColor="text1"/>
          <w:sz w:val="28"/>
        </w:rPr>
      </w:pPr>
    </w:p>
    <w:p w14:paraId="4AC63141" w14:textId="77777777" w:rsidR="007D15FE" w:rsidRPr="00E101EB" w:rsidRDefault="007D15FE" w:rsidP="007D15FE">
      <w:pPr>
        <w:spacing w:after="0"/>
        <w:jc w:val="center"/>
        <w:rPr>
          <w:rFonts w:ascii="Times New Roman" w:hAnsi="Times New Roman"/>
          <w:i/>
          <w:sz w:val="28"/>
        </w:rPr>
      </w:pPr>
      <w:r w:rsidRPr="00E101EB">
        <w:rPr>
          <w:rFonts w:ascii="Times New Roman" w:hAnsi="Times New Roman"/>
          <w:i/>
          <w:sz w:val="28"/>
        </w:rPr>
        <w:t>Расчет целевых показателей муниципальной программы</w:t>
      </w:r>
    </w:p>
    <w:p w14:paraId="305C77EF" w14:textId="77777777" w:rsidR="00280C67" w:rsidRDefault="00280C67" w:rsidP="007D15FE">
      <w:pPr>
        <w:spacing w:after="0"/>
        <w:jc w:val="center"/>
        <w:rPr>
          <w:rFonts w:ascii="Times New Roman" w:hAnsi="Times New Roman"/>
          <w:sz w:val="28"/>
        </w:rPr>
      </w:pPr>
    </w:p>
    <w:p w14:paraId="6671E630" w14:textId="77777777" w:rsidR="00BF5D29" w:rsidRDefault="00A1547D" w:rsidP="00280C67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A1547D">
        <w:rPr>
          <w:rFonts w:ascii="Times New Roman" w:hAnsi="Times New Roman"/>
          <w:sz w:val="28"/>
        </w:rPr>
        <w:t xml:space="preserve"> соответствии с Методик</w:t>
      </w:r>
      <w:r>
        <w:rPr>
          <w:rFonts w:ascii="Times New Roman" w:hAnsi="Times New Roman"/>
          <w:sz w:val="28"/>
        </w:rPr>
        <w:t>ой</w:t>
      </w:r>
      <w:r w:rsidRPr="00A1547D">
        <w:rPr>
          <w:rFonts w:ascii="Times New Roman" w:hAnsi="Times New Roman"/>
          <w:sz w:val="28"/>
        </w:rPr>
        <w:t xml:space="preserve"> расчета целевых показателей (индикаторов) муниципальной программы </w:t>
      </w:r>
      <w:r>
        <w:rPr>
          <w:rFonts w:ascii="Times New Roman" w:hAnsi="Times New Roman"/>
          <w:sz w:val="28"/>
        </w:rPr>
        <w:t>расчет целевого показателя «</w:t>
      </w:r>
      <w:r w:rsidRPr="00280C67">
        <w:rPr>
          <w:rFonts w:ascii="Times New Roman" w:hAnsi="Times New Roman"/>
          <w:sz w:val="28"/>
        </w:rPr>
        <w:t>Количество пассажиров, воспользовавшихся правом льготного проезда на городском на</w:t>
      </w:r>
      <w:r>
        <w:rPr>
          <w:rFonts w:ascii="Times New Roman" w:hAnsi="Times New Roman"/>
          <w:sz w:val="28"/>
        </w:rPr>
        <w:t>земном электрическом транспорте» не производится.</w:t>
      </w:r>
      <w:r w:rsidR="00BF5D29">
        <w:rPr>
          <w:rFonts w:ascii="Times New Roman" w:hAnsi="Times New Roman"/>
          <w:sz w:val="28"/>
        </w:rPr>
        <w:t xml:space="preserve"> </w:t>
      </w:r>
    </w:p>
    <w:p w14:paraId="3A989B86" w14:textId="75A396B7" w:rsidR="00280C67" w:rsidRDefault="00BF5D29" w:rsidP="00BF5D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Источником получения информации является отчетность МУП «Майкопское троллейбусное управление». В 20</w:t>
      </w:r>
      <w:r w:rsidR="007B3CDF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</w:t>
      </w:r>
      <w:r w:rsidR="00E101E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предоставленным данным МУП «Майкопское троллейбусное управление»</w:t>
      </w:r>
      <w:r w:rsidR="00E101E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перевез</w:t>
      </w:r>
      <w:r w:rsidR="00E101EB">
        <w:rPr>
          <w:rFonts w:ascii="Times New Roman" w:hAnsi="Times New Roman"/>
          <w:sz w:val="28"/>
        </w:rPr>
        <w:t>ен</w:t>
      </w:r>
      <w:r w:rsidR="005A546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0E49EC" w:rsidRPr="000E49EC">
        <w:rPr>
          <w:rFonts w:ascii="Times New Roman" w:hAnsi="Times New Roman"/>
          <w:sz w:val="28"/>
        </w:rPr>
        <w:t>800940</w:t>
      </w:r>
      <w:r w:rsidRPr="00BF5D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пассажиров льготной категории.  </w:t>
      </w:r>
    </w:p>
    <w:p w14:paraId="0B934697" w14:textId="77777777" w:rsidR="00280C67" w:rsidRPr="00642661" w:rsidRDefault="00280C67" w:rsidP="00D4278A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642661">
        <w:rPr>
          <w:rFonts w:ascii="Times New Roman" w:hAnsi="Times New Roman"/>
          <w:sz w:val="28"/>
        </w:rPr>
        <w:t>Целевой показатель</w:t>
      </w:r>
      <w:r w:rsidR="00D4278A" w:rsidRPr="00642661">
        <w:t xml:space="preserve"> «</w:t>
      </w:r>
      <w:r w:rsidR="00D4278A" w:rsidRPr="00642661">
        <w:rPr>
          <w:rFonts w:ascii="Times New Roman" w:hAnsi="Times New Roman"/>
          <w:sz w:val="28"/>
        </w:rPr>
        <w:t xml:space="preserve">Выполнение расписания движения </w:t>
      </w:r>
      <w:proofErr w:type="gramStart"/>
      <w:r w:rsidR="00D4278A" w:rsidRPr="00642661">
        <w:rPr>
          <w:rFonts w:ascii="Times New Roman" w:hAnsi="Times New Roman"/>
          <w:sz w:val="28"/>
        </w:rPr>
        <w:t>городского  наземного</w:t>
      </w:r>
      <w:proofErr w:type="gramEnd"/>
      <w:r w:rsidR="00D4278A" w:rsidRPr="00642661">
        <w:rPr>
          <w:rFonts w:ascii="Times New Roman" w:hAnsi="Times New Roman"/>
          <w:sz w:val="28"/>
        </w:rPr>
        <w:t xml:space="preserve"> электрического транспорта»</w:t>
      </w:r>
    </w:p>
    <w:p w14:paraId="2C07B957" w14:textId="77777777" w:rsidR="00A1547D" w:rsidRPr="00642661" w:rsidRDefault="00A1547D" w:rsidP="00A1547D">
      <w:pPr>
        <w:pStyle w:val="a6"/>
        <w:rPr>
          <w:rFonts w:ascii="Times New Roman" w:hAnsi="Times New Roman"/>
          <w:sz w:val="28"/>
        </w:rPr>
      </w:pPr>
    </w:p>
    <w:p w14:paraId="3F5E1812" w14:textId="77777777" w:rsidR="00A1547D" w:rsidRPr="00767D6F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67D6F">
        <w:rPr>
          <w:rFonts w:ascii="Times New Roman" w:hAnsi="Times New Roman"/>
          <w:sz w:val="28"/>
        </w:rPr>
        <w:t>У=</w:t>
      </w:r>
      <w:proofErr w:type="spellStart"/>
      <w:r w:rsidRPr="00767D6F">
        <w:rPr>
          <w:rFonts w:ascii="Times New Roman" w:hAnsi="Times New Roman"/>
          <w:sz w:val="28"/>
        </w:rPr>
        <w:t>Кфакт</w:t>
      </w:r>
      <w:proofErr w:type="spellEnd"/>
      <w:r w:rsidRPr="00767D6F">
        <w:rPr>
          <w:rFonts w:ascii="Times New Roman" w:hAnsi="Times New Roman"/>
          <w:sz w:val="28"/>
        </w:rPr>
        <w:t>/</w:t>
      </w:r>
      <w:proofErr w:type="spellStart"/>
      <w:r w:rsidRPr="00767D6F">
        <w:rPr>
          <w:rFonts w:ascii="Times New Roman" w:hAnsi="Times New Roman"/>
          <w:sz w:val="28"/>
        </w:rPr>
        <w:t>Кплан</w:t>
      </w:r>
      <w:proofErr w:type="spellEnd"/>
      <w:r w:rsidRPr="00767D6F">
        <w:rPr>
          <w:rFonts w:ascii="Times New Roman" w:hAnsi="Times New Roman"/>
          <w:sz w:val="28"/>
        </w:rPr>
        <w:t xml:space="preserve"> * 100, где</w:t>
      </w:r>
    </w:p>
    <w:p w14:paraId="17CE3FBC" w14:textId="7344ED4D" w:rsidR="00A1547D" w:rsidRPr="004B76DC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67D6F">
        <w:rPr>
          <w:rFonts w:ascii="Times New Roman" w:hAnsi="Times New Roman"/>
          <w:sz w:val="28"/>
        </w:rPr>
        <w:t xml:space="preserve"> У - выполнение р</w:t>
      </w:r>
      <w:r w:rsidR="00906305">
        <w:rPr>
          <w:rFonts w:ascii="Times New Roman" w:hAnsi="Times New Roman"/>
          <w:sz w:val="28"/>
        </w:rPr>
        <w:t>асписания движения городского</w:t>
      </w:r>
      <w:r w:rsidR="00767D6F">
        <w:rPr>
          <w:rFonts w:ascii="Times New Roman" w:hAnsi="Times New Roman"/>
          <w:sz w:val="28"/>
        </w:rPr>
        <w:t xml:space="preserve"> н</w:t>
      </w:r>
      <w:r w:rsidRPr="00767D6F">
        <w:rPr>
          <w:rFonts w:ascii="Times New Roman" w:hAnsi="Times New Roman"/>
          <w:sz w:val="28"/>
        </w:rPr>
        <w:t>аземного электрического транспорта,</w:t>
      </w:r>
      <w:r w:rsidR="002126CA">
        <w:rPr>
          <w:rFonts w:ascii="Times New Roman" w:hAnsi="Times New Roman"/>
          <w:sz w:val="28"/>
        </w:rPr>
        <w:t xml:space="preserve"> </w:t>
      </w:r>
      <w:r w:rsidRPr="00767D6F">
        <w:rPr>
          <w:rFonts w:ascii="Times New Roman" w:hAnsi="Times New Roman"/>
          <w:sz w:val="28"/>
        </w:rPr>
        <w:t xml:space="preserve">%; </w:t>
      </w:r>
      <w:r w:rsidR="00750E04" w:rsidRPr="004B76DC">
        <w:rPr>
          <w:rFonts w:ascii="Times New Roman" w:hAnsi="Times New Roman"/>
          <w:sz w:val="28"/>
        </w:rPr>
        <w:t xml:space="preserve"> </w:t>
      </w:r>
    </w:p>
    <w:p w14:paraId="5E6FD6ED" w14:textId="77777777" w:rsidR="00A1547D" w:rsidRPr="004B76DC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4B76DC">
        <w:rPr>
          <w:rFonts w:ascii="Times New Roman" w:hAnsi="Times New Roman"/>
          <w:sz w:val="28"/>
        </w:rPr>
        <w:t>Кфакт</w:t>
      </w:r>
      <w:proofErr w:type="spellEnd"/>
      <w:r w:rsidRPr="004B76DC">
        <w:rPr>
          <w:rFonts w:ascii="Times New Roman" w:hAnsi="Times New Roman"/>
          <w:sz w:val="28"/>
        </w:rPr>
        <w:t xml:space="preserve"> - количество фактически выполненных рейсов </w:t>
      </w:r>
      <w:proofErr w:type="gramStart"/>
      <w:r w:rsidRPr="004B76DC">
        <w:rPr>
          <w:rFonts w:ascii="Times New Roman" w:hAnsi="Times New Roman"/>
          <w:sz w:val="28"/>
        </w:rPr>
        <w:t>городским  наземным</w:t>
      </w:r>
      <w:proofErr w:type="gramEnd"/>
      <w:r w:rsidRPr="004B76DC">
        <w:rPr>
          <w:rFonts w:ascii="Times New Roman" w:hAnsi="Times New Roman"/>
          <w:sz w:val="28"/>
        </w:rPr>
        <w:t xml:space="preserve"> электрическим транспортом в текущем году, шт.;</w:t>
      </w:r>
    </w:p>
    <w:p w14:paraId="039534D1" w14:textId="77777777" w:rsidR="00A1547D" w:rsidRPr="004B76DC" w:rsidRDefault="00A1547D" w:rsidP="001F55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4B76DC">
        <w:rPr>
          <w:rFonts w:ascii="Times New Roman" w:hAnsi="Times New Roman"/>
          <w:sz w:val="28"/>
        </w:rPr>
        <w:t xml:space="preserve"> </w:t>
      </w:r>
      <w:proofErr w:type="spellStart"/>
      <w:r w:rsidRPr="004B76DC">
        <w:rPr>
          <w:rFonts w:ascii="Times New Roman" w:hAnsi="Times New Roman"/>
          <w:sz w:val="28"/>
        </w:rPr>
        <w:t>Кплан</w:t>
      </w:r>
      <w:proofErr w:type="spellEnd"/>
      <w:r w:rsidRPr="004B76DC">
        <w:rPr>
          <w:rFonts w:ascii="Times New Roman" w:hAnsi="Times New Roman"/>
          <w:sz w:val="28"/>
        </w:rPr>
        <w:t xml:space="preserve"> - количество рейсов, предусмотренных расписанием движения троллейбусов в текущем году, шт.</w:t>
      </w:r>
    </w:p>
    <w:p w14:paraId="0E17ECED" w14:textId="77777777" w:rsidR="00227402" w:rsidRPr="004B76DC" w:rsidRDefault="00227402" w:rsidP="00642661">
      <w:pPr>
        <w:pStyle w:val="a6"/>
        <w:spacing w:after="0"/>
        <w:ind w:left="709"/>
        <w:jc w:val="center"/>
        <w:rPr>
          <w:rFonts w:ascii="Times New Roman" w:hAnsi="Times New Roman"/>
          <w:sz w:val="28"/>
        </w:rPr>
      </w:pPr>
    </w:p>
    <w:p w14:paraId="46E90003" w14:textId="77777777" w:rsidR="00C4633E" w:rsidRDefault="00642661" w:rsidP="00642661">
      <w:pPr>
        <w:pStyle w:val="a6"/>
        <w:spacing w:after="0"/>
        <w:ind w:left="709"/>
        <w:jc w:val="center"/>
        <w:rPr>
          <w:rFonts w:ascii="Times New Roman" w:hAnsi="Times New Roman"/>
          <w:sz w:val="28"/>
        </w:rPr>
      </w:pPr>
      <w:r w:rsidRPr="004B76DC">
        <w:rPr>
          <w:rFonts w:ascii="Times New Roman" w:hAnsi="Times New Roman"/>
          <w:sz w:val="28"/>
        </w:rPr>
        <w:t xml:space="preserve">У= </w:t>
      </w:r>
      <w:r w:rsidR="00767D6F" w:rsidRPr="004B76DC">
        <w:rPr>
          <w:rFonts w:ascii="Times New Roman" w:hAnsi="Times New Roman"/>
          <w:sz w:val="28"/>
        </w:rPr>
        <w:t>103533</w:t>
      </w:r>
      <w:r w:rsidRPr="004B76DC">
        <w:rPr>
          <w:rFonts w:ascii="Times New Roman" w:hAnsi="Times New Roman"/>
          <w:sz w:val="28"/>
        </w:rPr>
        <w:t>/</w:t>
      </w:r>
      <w:r w:rsidR="00767D6F" w:rsidRPr="004B76DC">
        <w:rPr>
          <w:rFonts w:ascii="Times New Roman" w:hAnsi="Times New Roman"/>
          <w:sz w:val="28"/>
        </w:rPr>
        <w:t>105785</w:t>
      </w:r>
      <w:r w:rsidRPr="004B76DC">
        <w:rPr>
          <w:rFonts w:ascii="Times New Roman" w:hAnsi="Times New Roman"/>
          <w:sz w:val="28"/>
        </w:rPr>
        <w:t xml:space="preserve">*100 = </w:t>
      </w:r>
      <w:r w:rsidR="00767D6F" w:rsidRPr="004B76DC">
        <w:rPr>
          <w:rFonts w:ascii="Times New Roman" w:hAnsi="Times New Roman"/>
          <w:sz w:val="28"/>
        </w:rPr>
        <w:t>97,9</w:t>
      </w:r>
    </w:p>
    <w:p w14:paraId="19E4FC25" w14:textId="59E1DDBE" w:rsidR="00280C67" w:rsidRPr="004B76DC" w:rsidRDefault="00D63266" w:rsidP="004B76D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D63266">
        <w:rPr>
          <w:rFonts w:ascii="Times New Roman" w:hAnsi="Times New Roman"/>
          <w:sz w:val="28"/>
        </w:rPr>
        <w:t>3</w:t>
      </w:r>
      <w:r w:rsidR="004B76DC">
        <w:rPr>
          <w:rFonts w:ascii="Times New Roman" w:hAnsi="Times New Roman"/>
          <w:sz w:val="28"/>
        </w:rPr>
        <w:t>.</w:t>
      </w:r>
      <w:r w:rsidR="00227402" w:rsidRPr="004B76DC">
        <w:rPr>
          <w:rFonts w:ascii="Times New Roman" w:hAnsi="Times New Roman"/>
          <w:sz w:val="28"/>
        </w:rPr>
        <w:t xml:space="preserve">Целевой показатель </w:t>
      </w:r>
      <w:r w:rsidR="00D4278A" w:rsidRPr="004B76DC">
        <w:rPr>
          <w:rFonts w:ascii="Times New Roman" w:hAnsi="Times New Roman"/>
          <w:sz w:val="28"/>
        </w:rPr>
        <w:t>«Прирост проверок по обследованию наземного эклектического транспорта на соблюдение правил перевозки пассажиров (нарастающим итогом)»</w:t>
      </w:r>
      <w:r w:rsidR="00227402" w:rsidRPr="004B76DC">
        <w:rPr>
          <w:rFonts w:ascii="Times New Roman" w:hAnsi="Times New Roman"/>
          <w:sz w:val="28"/>
        </w:rPr>
        <w:t xml:space="preserve"> - расчет не производится</w:t>
      </w:r>
      <w:r w:rsidR="00A15AD8" w:rsidRPr="004B76DC">
        <w:rPr>
          <w:rFonts w:ascii="Times New Roman" w:hAnsi="Times New Roman"/>
          <w:sz w:val="28"/>
        </w:rPr>
        <w:t>. По факту в 202</w:t>
      </w:r>
      <w:r w:rsidR="007925C3" w:rsidRPr="004B76DC">
        <w:rPr>
          <w:rFonts w:ascii="Times New Roman" w:hAnsi="Times New Roman"/>
          <w:sz w:val="28"/>
        </w:rPr>
        <w:t>4</w:t>
      </w:r>
      <w:r w:rsidR="00227402" w:rsidRPr="004B76DC">
        <w:rPr>
          <w:rFonts w:ascii="Times New Roman" w:hAnsi="Times New Roman"/>
          <w:sz w:val="28"/>
        </w:rPr>
        <w:t xml:space="preserve"> году</w:t>
      </w:r>
      <w:r w:rsidR="00A15AD8" w:rsidRPr="004B76DC">
        <w:rPr>
          <w:rFonts w:ascii="Times New Roman" w:hAnsi="Times New Roman"/>
          <w:sz w:val="28"/>
        </w:rPr>
        <w:t xml:space="preserve"> проведено </w:t>
      </w:r>
      <w:r w:rsidRPr="00D63266">
        <w:rPr>
          <w:rFonts w:ascii="Times New Roman" w:hAnsi="Times New Roman"/>
          <w:sz w:val="28"/>
        </w:rPr>
        <w:t>3</w:t>
      </w:r>
      <w:r w:rsidR="00A15AD8" w:rsidRPr="004B76DC">
        <w:rPr>
          <w:rFonts w:ascii="Times New Roman" w:hAnsi="Times New Roman"/>
          <w:sz w:val="28"/>
        </w:rPr>
        <w:t xml:space="preserve"> визуальных проверки по соблюде</w:t>
      </w:r>
      <w:r>
        <w:rPr>
          <w:rFonts w:ascii="Times New Roman" w:hAnsi="Times New Roman"/>
          <w:sz w:val="28"/>
        </w:rPr>
        <w:t>нию правил перевозки пассажиров, и</w:t>
      </w:r>
      <w:r w:rsidR="00227402" w:rsidRPr="004B76DC">
        <w:rPr>
          <w:rFonts w:ascii="Times New Roman" w:hAnsi="Times New Roman"/>
          <w:sz w:val="28"/>
        </w:rPr>
        <w:t>сполнение состав</w:t>
      </w:r>
      <w:r>
        <w:rPr>
          <w:rFonts w:ascii="Times New Roman" w:hAnsi="Times New Roman"/>
          <w:sz w:val="28"/>
        </w:rPr>
        <w:t>ляет</w:t>
      </w:r>
      <w:r w:rsidR="00227402" w:rsidRPr="004B76DC">
        <w:rPr>
          <w:rFonts w:ascii="Times New Roman" w:hAnsi="Times New Roman"/>
          <w:sz w:val="28"/>
        </w:rPr>
        <w:t xml:space="preserve"> – </w:t>
      </w:r>
      <w:r w:rsidR="007925C3" w:rsidRPr="004B76DC">
        <w:rPr>
          <w:rFonts w:ascii="Times New Roman" w:hAnsi="Times New Roman"/>
          <w:sz w:val="28"/>
        </w:rPr>
        <w:t>7 единиц</w:t>
      </w:r>
      <w:r w:rsidR="00227402" w:rsidRPr="004B76DC">
        <w:rPr>
          <w:rFonts w:ascii="Times New Roman" w:hAnsi="Times New Roman"/>
          <w:sz w:val="28"/>
        </w:rPr>
        <w:t>.</w:t>
      </w:r>
    </w:p>
    <w:p w14:paraId="00A9D736" w14:textId="648AED3A" w:rsidR="00227402" w:rsidRPr="004B76DC" w:rsidRDefault="00D63266" w:rsidP="004B76D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D63266">
        <w:rPr>
          <w:rFonts w:ascii="Times New Roman" w:hAnsi="Times New Roman"/>
          <w:sz w:val="28"/>
        </w:rPr>
        <w:t>4</w:t>
      </w:r>
      <w:r w:rsidR="004B76DC">
        <w:rPr>
          <w:rFonts w:ascii="Times New Roman" w:hAnsi="Times New Roman"/>
          <w:sz w:val="28"/>
        </w:rPr>
        <w:t>.</w:t>
      </w:r>
      <w:r w:rsidR="00227402" w:rsidRPr="004B76DC">
        <w:rPr>
          <w:rFonts w:ascii="Times New Roman" w:hAnsi="Times New Roman"/>
          <w:sz w:val="28"/>
        </w:rPr>
        <w:t xml:space="preserve">Целевой показатель «Доля новых приобретенных (или обновленных) автобусов для работы по нерегулируемым тарифам на муниципальных маршрутах регулярных перевозок к общему количеству автобусов средней вместимости по утвержденным реестрам на муниципальных маршрутах» рассчитывается: </w:t>
      </w:r>
    </w:p>
    <w:p w14:paraId="0EB1D5D6" w14:textId="77777777" w:rsidR="00227402" w:rsidRPr="00227402" w:rsidRDefault="00227402" w:rsidP="00227402">
      <w:pPr>
        <w:tabs>
          <w:tab w:val="left" w:pos="0"/>
        </w:tabs>
        <w:spacing w:after="0" w:line="240" w:lineRule="auto"/>
        <w:ind w:right="13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Дн</w:t>
      </w:r>
      <w:proofErr w:type="spellEnd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=</w:t>
      </w:r>
      <w:proofErr w:type="spellStart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Кн</w:t>
      </w:r>
      <w:proofErr w:type="spellEnd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proofErr w:type="spellStart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Коб</w:t>
      </w:r>
      <w:proofErr w:type="spellEnd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*100, где</w:t>
      </w:r>
    </w:p>
    <w:p w14:paraId="57653474" w14:textId="77777777" w:rsidR="00227402" w:rsidRPr="00227402" w:rsidRDefault="00227402" w:rsidP="00227402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Дн</w:t>
      </w:r>
      <w:proofErr w:type="spellEnd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доля новых (или приобретенных) автобусов для работы по регулируемым тарифам на муниципальных маршрутах регулярных перевозок, %;</w:t>
      </w:r>
    </w:p>
    <w:p w14:paraId="609A36F2" w14:textId="77777777" w:rsidR="00227402" w:rsidRPr="00227402" w:rsidRDefault="00227402" w:rsidP="00227402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Кн. – количество новых (или приобретенных) автобусов, ед.;</w:t>
      </w:r>
    </w:p>
    <w:p w14:paraId="173ABA2F" w14:textId="77777777" w:rsidR="0083154E" w:rsidRDefault="00227402" w:rsidP="00227402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>Коб</w:t>
      </w:r>
      <w:proofErr w:type="spellEnd"/>
      <w:r w:rsidRPr="002274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общее количество автобусов средней вместимости по утвержденным реестрам на муниципальных маршрутах, обслуживаемых МУП «МТУ», ед.</w:t>
      </w:r>
    </w:p>
    <w:p w14:paraId="43054F80" w14:textId="77777777" w:rsidR="00227402" w:rsidRDefault="00227402" w:rsidP="00227402">
      <w:pPr>
        <w:tabs>
          <w:tab w:val="left" w:pos="0"/>
        </w:tabs>
        <w:spacing w:after="0" w:line="240" w:lineRule="auto"/>
        <w:ind w:right="13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3DC7C4B5" w14:textId="2AC3FB1A" w:rsidR="00227402" w:rsidRDefault="00227402" w:rsidP="00227402">
      <w:pPr>
        <w:tabs>
          <w:tab w:val="left" w:pos="0"/>
        </w:tabs>
        <w:spacing w:after="0" w:line="240" w:lineRule="auto"/>
        <w:ind w:right="13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4B76DC">
        <w:rPr>
          <w:rFonts w:ascii="Times New Roman" w:hAnsi="Times New Roman"/>
          <w:bCs/>
          <w:color w:val="000000" w:themeColor="text1"/>
          <w:sz w:val="28"/>
          <w:szCs w:val="28"/>
        </w:rPr>
        <w:t>Дн</w:t>
      </w:r>
      <w:proofErr w:type="spellEnd"/>
      <w:r w:rsidRPr="004B76DC">
        <w:rPr>
          <w:rFonts w:ascii="Times New Roman" w:hAnsi="Times New Roman"/>
          <w:bCs/>
          <w:color w:val="000000" w:themeColor="text1"/>
          <w:sz w:val="28"/>
          <w:szCs w:val="28"/>
        </w:rPr>
        <w:t>=</w:t>
      </w:r>
      <w:r w:rsidR="00437FE2">
        <w:rPr>
          <w:rFonts w:ascii="Times New Roman" w:hAnsi="Times New Roman"/>
          <w:bCs/>
          <w:color w:val="000000" w:themeColor="text1"/>
          <w:sz w:val="28"/>
          <w:szCs w:val="28"/>
        </w:rPr>
        <w:t>41</w:t>
      </w:r>
      <w:r w:rsidRPr="004B76DC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437FE2">
        <w:rPr>
          <w:rFonts w:ascii="Times New Roman" w:hAnsi="Times New Roman"/>
          <w:bCs/>
          <w:color w:val="000000" w:themeColor="text1"/>
          <w:sz w:val="28"/>
          <w:szCs w:val="28"/>
        </w:rPr>
        <w:t>45</w:t>
      </w:r>
      <w:r w:rsidRPr="004B76DC">
        <w:rPr>
          <w:rFonts w:ascii="Times New Roman" w:hAnsi="Times New Roman"/>
          <w:bCs/>
          <w:color w:val="000000" w:themeColor="text1"/>
          <w:sz w:val="28"/>
          <w:szCs w:val="28"/>
        </w:rPr>
        <w:t>*100=</w:t>
      </w:r>
      <w:r w:rsidR="00295921" w:rsidRPr="00295921">
        <w:rPr>
          <w:rFonts w:ascii="Times New Roman" w:hAnsi="Times New Roman" w:cs="Times New Roman"/>
          <w:sz w:val="28"/>
          <w:szCs w:val="28"/>
          <w:lang w:val="en-US"/>
        </w:rPr>
        <w:t>91,1</w:t>
      </w:r>
    </w:p>
    <w:p w14:paraId="33D21A1D" w14:textId="77777777" w:rsidR="00227402" w:rsidRDefault="00227402" w:rsidP="00227402">
      <w:pPr>
        <w:tabs>
          <w:tab w:val="left" w:pos="0"/>
        </w:tabs>
        <w:spacing w:after="0" w:line="240" w:lineRule="auto"/>
        <w:ind w:right="13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E409385" w14:textId="77777777" w:rsidR="00C34538" w:rsidRPr="00227402" w:rsidRDefault="004E4A59" w:rsidP="00227402">
      <w:pPr>
        <w:tabs>
          <w:tab w:val="left" w:pos="0"/>
        </w:tabs>
        <w:spacing w:after="0" w:line="240" w:lineRule="auto"/>
        <w:ind w:right="139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Сведения о степени вы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полнения основных мероприятий, </w:t>
      </w: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мероприятий (направлений 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асходов), </w:t>
      </w: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>контрольных событий муниципальной программы,</w:t>
      </w:r>
      <w:r w:rsidR="002057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подпрограмм муниципальной </w:t>
      </w:r>
      <w:proofErr w:type="gramStart"/>
      <w:r w:rsidRPr="004E4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программы </w:t>
      </w:r>
      <w:r w:rsidR="00A15AD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D15FE" w:rsidRPr="003A6B1E">
        <w:rPr>
          <w:rFonts w:ascii="Times New Roman" w:hAnsi="Times New Roman"/>
          <w:sz w:val="28"/>
          <w:szCs w:val="28"/>
        </w:rPr>
        <w:t>приведены</w:t>
      </w:r>
      <w:proofErr w:type="gramEnd"/>
      <w:r w:rsidR="007D15FE" w:rsidRPr="003A6B1E">
        <w:rPr>
          <w:rFonts w:ascii="Times New Roman" w:hAnsi="Times New Roman"/>
          <w:sz w:val="28"/>
          <w:szCs w:val="28"/>
        </w:rPr>
        <w:t xml:space="preserve"> в Таблице № 2.</w:t>
      </w:r>
      <w:r w:rsidR="002274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2E6805A6" w14:textId="77777777" w:rsidR="002057C6" w:rsidRDefault="002057C6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sectPr w:rsidR="002057C6" w:rsidSect="00812460">
          <w:pgSz w:w="11906" w:h="16838"/>
          <w:pgMar w:top="1134" w:right="1133" w:bottom="1701" w:left="1701" w:header="709" w:footer="709" w:gutter="0"/>
          <w:cols w:space="708"/>
          <w:docGrid w:linePitch="360"/>
        </w:sectPr>
      </w:pPr>
    </w:p>
    <w:p w14:paraId="67AD6AD9" w14:textId="77777777" w:rsidR="00E101EB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Сведения </w:t>
      </w:r>
      <w:r w:rsidRPr="003A6B1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  <w:r w:rsidR="00E101E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</w:p>
    <w:p w14:paraId="02E8F3DB" w14:textId="77777777" w:rsidR="007D15FE" w:rsidRDefault="00E101EB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(обеспечивающей подпрограммы муниципальной программы)</w:t>
      </w:r>
    </w:p>
    <w:p w14:paraId="3DDFD70D" w14:textId="77777777" w:rsidR="004E4A59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14:paraId="4F49D3EF" w14:textId="77777777" w:rsidR="004E4A59" w:rsidRPr="00E101EB" w:rsidRDefault="00355A0C" w:rsidP="00E10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B1E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2"/>
        <w:tblW w:w="14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0"/>
        <w:gridCol w:w="4836"/>
        <w:gridCol w:w="2707"/>
        <w:gridCol w:w="1874"/>
        <w:gridCol w:w="1874"/>
        <w:gridCol w:w="1668"/>
      </w:tblGrid>
      <w:tr w:rsidR="004E4A59" w:rsidRPr="004E4A59" w14:paraId="494FF1A7" w14:textId="77777777" w:rsidTr="00906305">
        <w:trPr>
          <w:trHeight w:val="1139"/>
        </w:trPr>
        <w:tc>
          <w:tcPr>
            <w:tcW w:w="1620" w:type="dxa"/>
            <w:vMerge w:val="restart"/>
            <w:vAlign w:val="center"/>
          </w:tcPr>
          <w:p w14:paraId="5E5449DF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№ п/п</w:t>
            </w:r>
          </w:p>
          <w:p w14:paraId="62A2C5E1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36" w:type="dxa"/>
            <w:vMerge w:val="restart"/>
            <w:vAlign w:val="center"/>
          </w:tcPr>
          <w:p w14:paraId="198E28B9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707" w:type="dxa"/>
            <w:vMerge w:val="restart"/>
            <w:vAlign w:val="center"/>
          </w:tcPr>
          <w:p w14:paraId="7DBD0ED4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416" w:type="dxa"/>
            <w:gridSpan w:val="3"/>
            <w:vAlign w:val="center"/>
          </w:tcPr>
          <w:p w14:paraId="58EEE21C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Показатели контрольных событий (в количественном выражении)</w:t>
            </w:r>
          </w:p>
          <w:p w14:paraId="5F653931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 отчетный год</w:t>
            </w:r>
          </w:p>
        </w:tc>
      </w:tr>
      <w:tr w:rsidR="004E4A59" w:rsidRPr="004E4A59" w14:paraId="38FD1080" w14:textId="77777777" w:rsidTr="00906305">
        <w:trPr>
          <w:trHeight w:val="711"/>
        </w:trPr>
        <w:tc>
          <w:tcPr>
            <w:tcW w:w="1620" w:type="dxa"/>
            <w:vMerge/>
          </w:tcPr>
          <w:p w14:paraId="1AF6803E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vMerge/>
          </w:tcPr>
          <w:p w14:paraId="7DA28590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14:paraId="5EEAEA9C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753741E7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74" w:type="dxa"/>
            <w:vAlign w:val="center"/>
          </w:tcPr>
          <w:p w14:paraId="63E835F3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68" w:type="dxa"/>
            <w:vAlign w:val="center"/>
          </w:tcPr>
          <w:p w14:paraId="5E6A8F01" w14:textId="77777777" w:rsidR="004E4A59" w:rsidRPr="004E4A59" w:rsidRDefault="004E4A59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% исполнения</w:t>
            </w:r>
          </w:p>
        </w:tc>
      </w:tr>
      <w:tr w:rsidR="004E4A59" w:rsidRPr="004E4A59" w14:paraId="053DFD56" w14:textId="77777777" w:rsidTr="00906305">
        <w:trPr>
          <w:trHeight w:val="56"/>
        </w:trPr>
        <w:tc>
          <w:tcPr>
            <w:tcW w:w="1620" w:type="dxa"/>
          </w:tcPr>
          <w:p w14:paraId="5F6ED0FF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14:paraId="39549FF4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</w:tcPr>
          <w:p w14:paraId="7E891AE5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14:paraId="6CD9B96D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14:paraId="77AB7CB6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14:paraId="08DC4489" w14:textId="77777777" w:rsidR="004E4A59" w:rsidRPr="004E4A59" w:rsidRDefault="004E4A59" w:rsidP="004E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</w:t>
            </w:r>
          </w:p>
        </w:tc>
      </w:tr>
      <w:tr w:rsidR="004E4A59" w:rsidRPr="004E4A59" w14:paraId="63CDABC8" w14:textId="77777777" w:rsidTr="002057C6">
        <w:trPr>
          <w:trHeight w:val="569"/>
        </w:trPr>
        <w:tc>
          <w:tcPr>
            <w:tcW w:w="14579" w:type="dxa"/>
            <w:gridSpan w:val="6"/>
            <w:vAlign w:val="center"/>
          </w:tcPr>
          <w:p w14:paraId="362C7D3F" w14:textId="77777777" w:rsidR="004E4A59" w:rsidRPr="004E4A59" w:rsidRDefault="00156B68" w:rsidP="0020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156B6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Муниципальная программа «Развитие общественного пассажирского транспорта в муниципальном образовании «Город Майкоп»</w:t>
            </w:r>
          </w:p>
        </w:tc>
      </w:tr>
      <w:tr w:rsidR="004E4A59" w:rsidRPr="004E4A59" w14:paraId="308CE609" w14:textId="77777777" w:rsidTr="00906305">
        <w:trPr>
          <w:trHeight w:val="1139"/>
        </w:trPr>
        <w:tc>
          <w:tcPr>
            <w:tcW w:w="1620" w:type="dxa"/>
            <w:vAlign w:val="center"/>
          </w:tcPr>
          <w:p w14:paraId="644405F3" w14:textId="77777777"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6" w:type="dxa"/>
            <w:vAlign w:val="center"/>
          </w:tcPr>
          <w:p w14:paraId="20A52381" w14:textId="77777777"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4E4A5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Основное мероприятие</w:t>
            </w:r>
            <w:r w:rsid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: </w:t>
            </w:r>
            <w:r w:rsidR="009E4CD4"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«Развитие и повышение качества транспортного обслуживания населения»</w:t>
            </w:r>
          </w:p>
        </w:tc>
        <w:tc>
          <w:tcPr>
            <w:tcW w:w="2707" w:type="dxa"/>
            <w:vAlign w:val="center"/>
          </w:tcPr>
          <w:p w14:paraId="7A4FD8BD" w14:textId="77777777"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городской инфраструктуры,</w:t>
            </w:r>
          </w:p>
          <w:p w14:paraId="643AB26F" w14:textId="77777777"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CD4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3ADC3C31" w14:textId="77777777"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2DFE04E9" w14:textId="77777777"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50F21B6" w14:textId="77777777"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4E4A59" w:rsidRPr="004E4A59" w14:paraId="099DDBA7" w14:textId="77777777" w:rsidTr="00906305">
        <w:trPr>
          <w:trHeight w:val="1799"/>
        </w:trPr>
        <w:tc>
          <w:tcPr>
            <w:tcW w:w="1620" w:type="dxa"/>
            <w:vAlign w:val="center"/>
          </w:tcPr>
          <w:p w14:paraId="2861B379" w14:textId="77777777"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4836" w:type="dxa"/>
            <w:vAlign w:val="center"/>
          </w:tcPr>
          <w:p w14:paraId="472EF862" w14:textId="77777777"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Оказание услуг, связанных с осуществлением регулярных перевозок пассажиров и багажа городским наземным электрическим транспортом по муниципальным маршрутам на территории города Майкопа</w:t>
            </w:r>
          </w:p>
        </w:tc>
        <w:tc>
          <w:tcPr>
            <w:tcW w:w="2707" w:type="dxa"/>
            <w:vAlign w:val="center"/>
          </w:tcPr>
          <w:p w14:paraId="6FFB8FC1" w14:textId="77777777" w:rsidR="004E4A59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CD4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20C6DC3F" w14:textId="77777777"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07FC1D8E" w14:textId="77777777" w:rsidR="004E4A59" w:rsidRPr="004E4A59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6E067AB1" w14:textId="77777777" w:rsidR="004E4A59" w:rsidRPr="009E4CD4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</w:p>
        </w:tc>
      </w:tr>
      <w:tr w:rsidR="00E03FB9" w:rsidRPr="004B76DC" w14:paraId="0EDCBDDD" w14:textId="77777777" w:rsidTr="00906305">
        <w:trPr>
          <w:trHeight w:val="866"/>
        </w:trPr>
        <w:tc>
          <w:tcPr>
            <w:tcW w:w="1620" w:type="dxa"/>
            <w:shd w:val="clear" w:color="auto" w:fill="auto"/>
            <w:vAlign w:val="center"/>
          </w:tcPr>
          <w:p w14:paraId="0800592F" w14:textId="77777777" w:rsidR="004E4A59" w:rsidRPr="00642661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64266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1.1.1.</w:t>
            </w:r>
          </w:p>
        </w:tc>
        <w:tc>
          <w:tcPr>
            <w:tcW w:w="4836" w:type="dxa"/>
            <w:shd w:val="clear" w:color="auto" w:fill="auto"/>
            <w:vAlign w:val="center"/>
          </w:tcPr>
          <w:p w14:paraId="106A0671" w14:textId="77777777" w:rsidR="004E4A59" w:rsidRPr="00642661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64266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Величина пробега городского наземного эклектического транспорта, км.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E85D087" w14:textId="77777777" w:rsidR="004E4A59" w:rsidRPr="00642661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661">
              <w:rPr>
                <w:rFonts w:ascii="Times New Roman" w:hAnsi="Times New Roman" w:cs="Times New Roman"/>
                <w:sz w:val="22"/>
                <w:szCs w:val="22"/>
              </w:rPr>
              <w:t>МУП «МТУ»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E9D9CB6" w14:textId="77777777" w:rsidR="004E4A59" w:rsidRPr="004D03CF" w:rsidRDefault="007925C3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709 106,5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F91F1DE" w14:textId="4113A065" w:rsidR="004E4A59" w:rsidRPr="004B76DC" w:rsidRDefault="00AC6D1B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6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714518,6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CF8C650" w14:textId="40506DA6" w:rsidR="004E4A59" w:rsidRPr="004B76DC" w:rsidRDefault="00AC6D1B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 w:rsidRPr="004B76DC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100,8</w:t>
            </w:r>
          </w:p>
        </w:tc>
      </w:tr>
      <w:tr w:rsidR="009E4CD4" w:rsidRPr="004E4A59" w14:paraId="1F99374A" w14:textId="77777777" w:rsidTr="00906305">
        <w:trPr>
          <w:trHeight w:val="557"/>
        </w:trPr>
        <w:tc>
          <w:tcPr>
            <w:tcW w:w="1620" w:type="dxa"/>
            <w:vAlign w:val="center"/>
          </w:tcPr>
          <w:p w14:paraId="456C6FBF" w14:textId="77777777" w:rsidR="009E4CD4" w:rsidRDefault="00906305" w:rsidP="00906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</w:t>
            </w:r>
            <w:r w:rsid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4836" w:type="dxa"/>
            <w:vAlign w:val="center"/>
          </w:tcPr>
          <w:p w14:paraId="6C07CF85" w14:textId="77777777"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2707" w:type="dxa"/>
            <w:vAlign w:val="center"/>
          </w:tcPr>
          <w:p w14:paraId="02B1190E" w14:textId="77777777"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5F1AEBC0" w14:textId="77777777" w:rsidR="009E4CD4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26D31166" w14:textId="77777777" w:rsidR="009E4CD4" w:rsidRPr="004E4A59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0A4F4F13" w14:textId="77777777"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9E4CD4" w:rsidRPr="004E4A59" w14:paraId="4AFA1B69" w14:textId="77777777" w:rsidTr="00906305">
        <w:trPr>
          <w:trHeight w:val="569"/>
        </w:trPr>
        <w:tc>
          <w:tcPr>
            <w:tcW w:w="1620" w:type="dxa"/>
            <w:vAlign w:val="center"/>
          </w:tcPr>
          <w:p w14:paraId="53EACBE0" w14:textId="77777777" w:rsidR="009E4CD4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36" w:type="dxa"/>
            <w:vAlign w:val="center"/>
          </w:tcPr>
          <w:p w14:paraId="719C40D7" w14:textId="77777777"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E4CD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Количество приобретенных троллейбусов, ед.</w:t>
            </w:r>
          </w:p>
        </w:tc>
        <w:tc>
          <w:tcPr>
            <w:tcW w:w="2707" w:type="dxa"/>
            <w:vAlign w:val="center"/>
          </w:tcPr>
          <w:p w14:paraId="12706A99" w14:textId="77777777" w:rsidR="009E4CD4" w:rsidRPr="009E4CD4" w:rsidRDefault="009E4CD4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7DB63809" w14:textId="77777777" w:rsidR="009E4CD4" w:rsidRPr="004E4A59" w:rsidRDefault="0054174A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4" w:type="dxa"/>
            <w:vAlign w:val="center"/>
          </w:tcPr>
          <w:p w14:paraId="5290A3E9" w14:textId="77777777" w:rsidR="009E4CD4" w:rsidRPr="004E4A59" w:rsidRDefault="00E101EB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vAlign w:val="center"/>
          </w:tcPr>
          <w:p w14:paraId="11ECF831" w14:textId="77777777" w:rsidR="009E4CD4" w:rsidRPr="009E4CD4" w:rsidRDefault="00E101EB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-</w:t>
            </w:r>
          </w:p>
        </w:tc>
      </w:tr>
      <w:tr w:rsidR="00906305" w:rsidRPr="004E4A59" w14:paraId="6A6CEE2C" w14:textId="77777777" w:rsidTr="00906305">
        <w:trPr>
          <w:trHeight w:val="569"/>
        </w:trPr>
        <w:tc>
          <w:tcPr>
            <w:tcW w:w="1620" w:type="dxa"/>
            <w:vAlign w:val="center"/>
          </w:tcPr>
          <w:p w14:paraId="77FA5A0A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</w:t>
            </w:r>
          </w:p>
        </w:tc>
        <w:tc>
          <w:tcPr>
            <w:tcW w:w="4836" w:type="dxa"/>
            <w:vAlign w:val="center"/>
          </w:tcPr>
          <w:p w14:paraId="5A5D3C19" w14:textId="77777777" w:rsidR="00906305" w:rsidRPr="009E4CD4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915D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подвижного состава наземного общественного пассажирского транспорта на территории муниципального образования «Город Майкоп»</w:t>
            </w:r>
          </w:p>
        </w:tc>
        <w:tc>
          <w:tcPr>
            <w:tcW w:w="2707" w:type="dxa"/>
            <w:vAlign w:val="center"/>
          </w:tcPr>
          <w:p w14:paraId="45D77EB2" w14:textId="77777777" w:rsidR="00906305" w:rsidRPr="009E4CD4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772456EA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4827508F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274A5A0A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906305" w:rsidRPr="004E4A59" w14:paraId="413D0723" w14:textId="77777777" w:rsidTr="00906305">
        <w:trPr>
          <w:trHeight w:val="569"/>
        </w:trPr>
        <w:tc>
          <w:tcPr>
            <w:tcW w:w="1620" w:type="dxa"/>
            <w:vAlign w:val="center"/>
          </w:tcPr>
          <w:p w14:paraId="6FFA0531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3.1</w:t>
            </w:r>
          </w:p>
        </w:tc>
        <w:tc>
          <w:tcPr>
            <w:tcW w:w="4836" w:type="dxa"/>
            <w:vAlign w:val="center"/>
          </w:tcPr>
          <w:p w14:paraId="65044E34" w14:textId="77777777" w:rsidR="002B3E7C" w:rsidRDefault="002B3E7C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7C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(обновление подвижного состава наземного общественного транспорта на территории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  <w:p w14:paraId="65A628A0" w14:textId="71391F4B" w:rsidR="00906305" w:rsidRPr="00E915D1" w:rsidRDefault="002B3E7C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"Город Майкоп")</w:t>
            </w:r>
          </w:p>
        </w:tc>
        <w:tc>
          <w:tcPr>
            <w:tcW w:w="2707" w:type="dxa"/>
            <w:vAlign w:val="center"/>
          </w:tcPr>
          <w:p w14:paraId="32717DD5" w14:textId="77777777" w:rsidR="00906305" w:rsidRPr="009E4CD4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46F529F2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46571363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158F9B14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  <w:tr w:rsidR="00906305" w:rsidRPr="004E4A59" w14:paraId="70E39674" w14:textId="77777777" w:rsidTr="00906305">
        <w:trPr>
          <w:trHeight w:val="569"/>
        </w:trPr>
        <w:tc>
          <w:tcPr>
            <w:tcW w:w="1620" w:type="dxa"/>
            <w:vAlign w:val="center"/>
          </w:tcPr>
          <w:p w14:paraId="5D479E62" w14:textId="77777777" w:rsidR="00906305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3.2</w:t>
            </w:r>
          </w:p>
        </w:tc>
        <w:tc>
          <w:tcPr>
            <w:tcW w:w="4836" w:type="dxa"/>
            <w:vAlign w:val="center"/>
          </w:tcPr>
          <w:p w14:paraId="1F93F92F" w14:textId="77777777" w:rsidR="00906305" w:rsidRPr="00E915D1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приобретенных автобусов средней вместимости</w:t>
            </w:r>
            <w:r w:rsidRPr="00E9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5D1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707" w:type="dxa"/>
            <w:vAlign w:val="center"/>
          </w:tcPr>
          <w:p w14:paraId="0ACB42EA" w14:textId="77777777" w:rsidR="00906305" w:rsidRPr="009E4CD4" w:rsidRDefault="00906305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CD4">
              <w:rPr>
                <w:rFonts w:ascii="Times New Roman" w:hAnsi="Times New Roman" w:cs="Times New Roman"/>
              </w:rPr>
              <w:t>МУП «МТУ»</w:t>
            </w:r>
          </w:p>
        </w:tc>
        <w:tc>
          <w:tcPr>
            <w:tcW w:w="1874" w:type="dxa"/>
            <w:vAlign w:val="center"/>
          </w:tcPr>
          <w:p w14:paraId="32D2BF62" w14:textId="77777777" w:rsidR="00906305" w:rsidRDefault="007925C3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4" w:type="dxa"/>
            <w:vAlign w:val="center"/>
          </w:tcPr>
          <w:p w14:paraId="5A04EB2A" w14:textId="7E4835AE" w:rsidR="00906305" w:rsidRDefault="00437FE2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8" w:type="dxa"/>
            <w:vAlign w:val="center"/>
          </w:tcPr>
          <w:p w14:paraId="09BE9EED" w14:textId="47F5C12E" w:rsidR="00906305" w:rsidRDefault="00437FE2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70,0</w:t>
            </w:r>
          </w:p>
        </w:tc>
      </w:tr>
      <w:tr w:rsidR="004E4A59" w:rsidRPr="004E4A59" w14:paraId="1B04968C" w14:textId="77777777" w:rsidTr="00906305">
        <w:trPr>
          <w:trHeight w:val="808"/>
        </w:trPr>
        <w:tc>
          <w:tcPr>
            <w:tcW w:w="1620" w:type="dxa"/>
            <w:vAlign w:val="center"/>
          </w:tcPr>
          <w:p w14:paraId="660FCE5C" w14:textId="77777777" w:rsidR="004E4A59" w:rsidRPr="002126CA" w:rsidRDefault="004E4A59" w:rsidP="009E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highlight w:val="green"/>
              </w:rPr>
            </w:pPr>
          </w:p>
        </w:tc>
        <w:tc>
          <w:tcPr>
            <w:tcW w:w="4836" w:type="dxa"/>
            <w:vAlign w:val="center"/>
          </w:tcPr>
          <w:p w14:paraId="076C80C2" w14:textId="77777777" w:rsidR="004E4A59" w:rsidRPr="00227402" w:rsidRDefault="004E4A59" w:rsidP="00A15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22740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Причины невыполнения контрольных событий (выполнение менее 95 % от планового значения)</w:t>
            </w:r>
          </w:p>
        </w:tc>
        <w:tc>
          <w:tcPr>
            <w:tcW w:w="8123" w:type="dxa"/>
            <w:gridSpan w:val="4"/>
            <w:vAlign w:val="center"/>
          </w:tcPr>
          <w:p w14:paraId="68944414" w14:textId="5672D27B" w:rsidR="004E4A59" w:rsidRPr="00227402" w:rsidRDefault="007C2AA3" w:rsidP="007C2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п.3.2.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–  9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планируемых в 2024 году автобуса приняты и оплачены в 2025 году.</w:t>
            </w:r>
          </w:p>
        </w:tc>
      </w:tr>
    </w:tbl>
    <w:p w14:paraId="1A104630" w14:textId="77777777" w:rsidR="004E4A59" w:rsidRDefault="004E4A59" w:rsidP="004E4A5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D61644B" w14:textId="77777777" w:rsidR="00227402" w:rsidRDefault="00227402" w:rsidP="004E4A5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14:paraId="7747A6B8" w14:textId="77777777" w:rsidR="00D63266" w:rsidRDefault="00D63266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12D3D822" w14:textId="77777777" w:rsidR="00D63266" w:rsidRDefault="00D63266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37726A7F" w14:textId="77777777" w:rsidR="002B3E7C" w:rsidRDefault="002B3E7C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3B6C537E" w14:textId="77777777" w:rsidR="002B3E7C" w:rsidRDefault="002B3E7C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45CBDBF2" w14:textId="77777777" w:rsidR="002B3E7C" w:rsidRDefault="002B3E7C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</w:p>
    <w:p w14:paraId="1C518EAE" w14:textId="77777777" w:rsidR="00E101EB" w:rsidRPr="00455A71" w:rsidRDefault="00E101EB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455A71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lastRenderedPageBreak/>
        <w:t>Анализ факторов, повлиявших на ход реализации муниципальной программы.</w:t>
      </w:r>
    </w:p>
    <w:p w14:paraId="1DE718F5" w14:textId="78685BFA" w:rsidR="00DF5EFF" w:rsidRDefault="00227402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55A71">
        <w:rPr>
          <w:rFonts w:ascii="Times New Roman" w:hAnsi="Times New Roman" w:cs="Times New Roman"/>
          <w:sz w:val="28"/>
          <w:szCs w:val="28"/>
        </w:rPr>
        <w:t xml:space="preserve">МУП «Майкопское троллейбусное управление» оказывались </w:t>
      </w:r>
      <w:r w:rsidR="00C763E8">
        <w:rPr>
          <w:rFonts w:ascii="Times New Roman" w:hAnsi="Times New Roman" w:cs="Times New Roman"/>
          <w:sz w:val="28"/>
          <w:szCs w:val="28"/>
        </w:rPr>
        <w:t xml:space="preserve">и оказываются </w:t>
      </w:r>
      <w:r w:rsidRPr="00455A71">
        <w:rPr>
          <w:rFonts w:ascii="Times New Roman" w:hAnsi="Times New Roman" w:cs="Times New Roman"/>
          <w:sz w:val="28"/>
          <w:szCs w:val="28"/>
        </w:rPr>
        <w:t>услуги по</w:t>
      </w:r>
      <w:r w:rsidR="00D63266">
        <w:rPr>
          <w:rFonts w:ascii="Times New Roman" w:hAnsi="Times New Roman" w:cs="Times New Roman"/>
          <w:sz w:val="28"/>
          <w:szCs w:val="28"/>
        </w:rPr>
        <w:t xml:space="preserve"> перевозке п</w:t>
      </w:r>
      <w:r w:rsidR="00C763E8">
        <w:rPr>
          <w:rFonts w:ascii="Times New Roman" w:hAnsi="Times New Roman" w:cs="Times New Roman"/>
          <w:sz w:val="28"/>
          <w:szCs w:val="28"/>
        </w:rPr>
        <w:t>ассажиров и багажа. В</w:t>
      </w:r>
      <w:r w:rsidR="00DF5EFF" w:rsidRPr="00455A7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целях повышения качества транспортного обслуживания населения</w:t>
      </w:r>
      <w:r w:rsidR="00B31995" w:rsidRPr="00455A7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</w:t>
      </w:r>
      <w:r w:rsidR="00DF5EFF" w:rsidRPr="00455A7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территории муниципального образования «Город Майкоп»</w:t>
      </w:r>
      <w:r w:rsidR="00B31995" w:rsidRPr="00455A7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B31995" w:rsidRPr="00455A71">
        <w:rPr>
          <w:rFonts w:ascii="Times New Roman" w:hAnsi="Times New Roman" w:cs="Times New Roman"/>
          <w:sz w:val="28"/>
          <w:szCs w:val="28"/>
        </w:rPr>
        <w:t xml:space="preserve">было приобретено </w:t>
      </w:r>
      <w:r w:rsidR="00437FE2">
        <w:rPr>
          <w:rFonts w:ascii="Times New Roman" w:hAnsi="Times New Roman" w:cs="Times New Roman"/>
          <w:sz w:val="28"/>
          <w:szCs w:val="28"/>
        </w:rPr>
        <w:t>41</w:t>
      </w:r>
      <w:r w:rsidR="00B31995" w:rsidRPr="004B76DC">
        <w:rPr>
          <w:rFonts w:ascii="Times New Roman" w:hAnsi="Times New Roman" w:cs="Times New Roman"/>
          <w:sz w:val="28"/>
          <w:szCs w:val="28"/>
        </w:rPr>
        <w:t xml:space="preserve"> а</w:t>
      </w:r>
      <w:r w:rsidR="00FA0843">
        <w:rPr>
          <w:rFonts w:ascii="Times New Roman" w:hAnsi="Times New Roman" w:cs="Times New Roman"/>
          <w:sz w:val="28"/>
          <w:szCs w:val="28"/>
        </w:rPr>
        <w:t>втобус</w:t>
      </w:r>
      <w:r w:rsidR="00B31995" w:rsidRPr="00455A71">
        <w:rPr>
          <w:rFonts w:ascii="Times New Roman" w:hAnsi="Times New Roman" w:cs="Times New Roman"/>
          <w:sz w:val="28"/>
          <w:szCs w:val="28"/>
        </w:rPr>
        <w:t xml:space="preserve"> средней вместимости категории М3, имеющих не менее 19 мест для сидения с общей вместимостью 50 и более человек</w:t>
      </w:r>
      <w:r w:rsidR="00437FE2">
        <w:rPr>
          <w:rFonts w:ascii="Times New Roman" w:hAnsi="Times New Roman" w:cs="Times New Roman"/>
          <w:sz w:val="28"/>
          <w:szCs w:val="28"/>
        </w:rPr>
        <w:t>, в том числе из них 21</w:t>
      </w:r>
      <w:r w:rsidR="004B76D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37FE2">
        <w:rPr>
          <w:rFonts w:ascii="Times New Roman" w:hAnsi="Times New Roman" w:cs="Times New Roman"/>
          <w:sz w:val="28"/>
          <w:szCs w:val="28"/>
        </w:rPr>
        <w:t>а транспорта приобретена</w:t>
      </w:r>
      <w:r w:rsidR="004B76DC">
        <w:rPr>
          <w:rFonts w:ascii="Times New Roman" w:hAnsi="Times New Roman" w:cs="Times New Roman"/>
          <w:sz w:val="28"/>
          <w:szCs w:val="28"/>
        </w:rPr>
        <w:t xml:space="preserve"> в 20</w:t>
      </w:r>
      <w:r w:rsidR="00D63266">
        <w:rPr>
          <w:rFonts w:ascii="Times New Roman" w:hAnsi="Times New Roman" w:cs="Times New Roman"/>
          <w:sz w:val="28"/>
          <w:szCs w:val="28"/>
        </w:rPr>
        <w:t>24 году, где и</w:t>
      </w:r>
      <w:r w:rsidR="00E02724" w:rsidRPr="00455A71">
        <w:rPr>
          <w:rFonts w:ascii="Times New Roman" w:hAnsi="Times New Roman" w:cs="Times New Roman"/>
          <w:sz w:val="28"/>
          <w:szCs w:val="28"/>
        </w:rPr>
        <w:t xml:space="preserve">сточником финансового обеспечения расходов </w:t>
      </w:r>
      <w:r w:rsidR="007925C3" w:rsidRPr="00455A71">
        <w:rPr>
          <w:rFonts w:ascii="Times New Roman" w:hAnsi="Times New Roman" w:cs="Times New Roman"/>
          <w:sz w:val="28"/>
          <w:szCs w:val="28"/>
        </w:rPr>
        <w:t>являются бюджетные кредиты, предоставляемые из федерального бюджета на финансовое обеспечение реализации инфраструктурных проектов</w:t>
      </w:r>
      <w:r w:rsidR="004B76DC">
        <w:rPr>
          <w:rFonts w:ascii="Times New Roman" w:hAnsi="Times New Roman" w:cs="Times New Roman"/>
          <w:sz w:val="28"/>
          <w:szCs w:val="28"/>
        </w:rPr>
        <w:t>.</w:t>
      </w:r>
    </w:p>
    <w:p w14:paraId="0E01A02A" w14:textId="76EF48A9" w:rsidR="007C2AA3" w:rsidRDefault="007C2AA3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контракт на поставку 9 планируемых автобуса заключен 03.12.2024 № 239-2024. Согласно п.3.1 контракта, срок поставки автобусов до 20.12.2024г. Данные транспортные средства поступили в указанный срок и были приняты документом от 23.01.2025г., согласно контракту, и соответственно оплачены в 2025</w:t>
      </w:r>
      <w:r w:rsidR="002B4179" w:rsidRPr="002B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году. </w:t>
      </w:r>
    </w:p>
    <w:p w14:paraId="682C9724" w14:textId="078393C0" w:rsidR="00D63266" w:rsidRPr="00455A71" w:rsidRDefault="00D63266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нужно отметить, </w:t>
      </w:r>
      <w:r w:rsidRPr="00D6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МУП «Майкопское троллейбусное управление» </w:t>
      </w:r>
      <w:r w:rsidR="00C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Pr="00D6326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заключен контракт на «Оказание услуг по настройке и техническому обслуживанию информационных табло, предназначенных для установки в непосредственной близости к остановочным пунктам на территории МО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 данный момент на 10 остановочных пунктах установлены и подключены к питанию электронные табло, которые информируют население о номере маршрута, его наименовании и времени ожидания.</w:t>
      </w:r>
    </w:p>
    <w:p w14:paraId="45B52746" w14:textId="77777777" w:rsidR="008C6147" w:rsidRPr="00906305" w:rsidRDefault="008C6147" w:rsidP="004A7BB4">
      <w:pPr>
        <w:widowControl w:val="0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51B09214" w14:textId="77777777" w:rsidR="004E4A59" w:rsidRPr="002057C6" w:rsidRDefault="004E4A59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14:paraId="7DE0E772" w14:textId="77777777" w:rsidR="002057C6" w:rsidRDefault="002057C6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sectPr w:rsidR="002057C6" w:rsidSect="002057C6">
          <w:pgSz w:w="16838" w:h="11906" w:orient="landscape"/>
          <w:pgMar w:top="1134" w:right="1701" w:bottom="1701" w:left="1134" w:header="709" w:footer="709" w:gutter="0"/>
          <w:cols w:space="708"/>
          <w:docGrid w:linePitch="360"/>
        </w:sectPr>
      </w:pPr>
    </w:p>
    <w:p w14:paraId="381C0CFB" w14:textId="77777777"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Отчёт об использовании бюджетных ассигнований бюджета муниципального образования «Город Майкоп»</w:t>
      </w:r>
    </w:p>
    <w:p w14:paraId="272AC9BC" w14:textId="77777777" w:rsidR="00E03FB9" w:rsidRP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средств (средств внебюджетных источников) на реализацию муниципальной программы, </w:t>
      </w:r>
    </w:p>
    <w:p w14:paraId="2F89EEE4" w14:textId="77777777" w:rsidR="00E03FB9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 муниципальной программы (обеспечивающей подпрограммы муниципальной программы)</w:t>
      </w:r>
    </w:p>
    <w:p w14:paraId="599E6024" w14:textId="77777777" w:rsidR="00AC10EE" w:rsidRPr="00E03FB9" w:rsidRDefault="00AC10EE" w:rsidP="00AC10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14:paraId="2BDB3193" w14:textId="77777777" w:rsidR="00E03FB9" w:rsidRPr="005707EF" w:rsidRDefault="00E03FB9" w:rsidP="00E03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E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</w:p>
    <w:tbl>
      <w:tblPr>
        <w:tblStyle w:val="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1418"/>
        <w:gridCol w:w="1417"/>
        <w:gridCol w:w="1418"/>
        <w:gridCol w:w="1275"/>
        <w:gridCol w:w="1560"/>
        <w:gridCol w:w="1559"/>
        <w:gridCol w:w="1134"/>
      </w:tblGrid>
      <w:tr w:rsidR="00E03FB9" w:rsidRPr="00E03FB9" w14:paraId="3DFD1700" w14:textId="77777777" w:rsidTr="00350AC6">
        <w:tc>
          <w:tcPr>
            <w:tcW w:w="2694" w:type="dxa"/>
            <w:vMerge w:val="restart"/>
          </w:tcPr>
          <w:p w14:paraId="1309AED8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14:paraId="75855128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основного</w:t>
            </w:r>
          </w:p>
          <w:p w14:paraId="168770A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gridSpan w:val="3"/>
          </w:tcPr>
          <w:p w14:paraId="64FA948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 бюджета муниципального образования</w:t>
            </w:r>
          </w:p>
          <w:p w14:paraId="7C201C2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14:paraId="76E44D8B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Расходы за счёт средств</w:t>
            </w:r>
          </w:p>
          <w:p w14:paraId="2F7FBDD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253" w:type="dxa"/>
            <w:gridSpan w:val="3"/>
          </w:tcPr>
          <w:p w14:paraId="52A1B93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Итого расходы на реализацию</w:t>
            </w:r>
          </w:p>
          <w:p w14:paraId="214A6478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03FB9" w:rsidRPr="00E03FB9" w14:paraId="417277ED" w14:textId="77777777" w:rsidTr="00350AC6">
        <w:tc>
          <w:tcPr>
            <w:tcW w:w="2694" w:type="dxa"/>
            <w:vMerge/>
          </w:tcPr>
          <w:p w14:paraId="316838D0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5846ED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</w:tcPr>
          <w:p w14:paraId="03A5B0E4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418" w:type="dxa"/>
          </w:tcPr>
          <w:p w14:paraId="067FD68D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15689C7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1FF09E17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Уточнен-</w:t>
            </w: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</w:tcPr>
          <w:p w14:paraId="6CEDA980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spellStart"/>
            <w:proofErr w:type="gram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</w:tcPr>
          <w:p w14:paraId="748C88D6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E6A64F7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B02ED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14:paraId="1C03045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Уточненный план на 31</w:t>
            </w:r>
          </w:p>
          <w:p w14:paraId="3ACB5E7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26F2FC27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отчётного года</w:t>
            </w:r>
          </w:p>
        </w:tc>
        <w:tc>
          <w:tcPr>
            <w:tcW w:w="1559" w:type="dxa"/>
          </w:tcPr>
          <w:p w14:paraId="52C03B9C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</w:p>
          <w:p w14:paraId="33BBA88A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3D79F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14:paraId="6E7BFB26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55ED086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исполнения*</w:t>
            </w:r>
          </w:p>
        </w:tc>
      </w:tr>
      <w:tr w:rsidR="00E03FB9" w:rsidRPr="00E03FB9" w14:paraId="5533C803" w14:textId="77777777" w:rsidTr="00350AC6">
        <w:tc>
          <w:tcPr>
            <w:tcW w:w="2694" w:type="dxa"/>
          </w:tcPr>
          <w:p w14:paraId="5F6F915E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628ADEC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1A50A5A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38B13CE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83C27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EC7458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DC291F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6C66E02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1B18105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1AF82A5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657" w:rsidRPr="00E03FB9" w14:paraId="76D860E4" w14:textId="77777777" w:rsidTr="00350AC6">
        <w:tc>
          <w:tcPr>
            <w:tcW w:w="15593" w:type="dxa"/>
            <w:gridSpan w:val="10"/>
          </w:tcPr>
          <w:p w14:paraId="3E8CED49" w14:textId="77777777" w:rsidR="00233657" w:rsidRPr="00233657" w:rsidRDefault="00141514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233657" w:rsidRPr="00233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общественного пассажирского транспорта в муниципальном образовании «Город Майкоп»</w:t>
            </w:r>
          </w:p>
          <w:p w14:paraId="3F77ED53" w14:textId="77777777" w:rsidR="00233657" w:rsidRPr="00E03FB9" w:rsidRDefault="00233657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3E" w:rsidRPr="00E03FB9" w14:paraId="5E01D021" w14:textId="77777777" w:rsidTr="00350AC6">
        <w:tc>
          <w:tcPr>
            <w:tcW w:w="2694" w:type="dxa"/>
            <w:vMerge w:val="restart"/>
            <w:vAlign w:val="center"/>
          </w:tcPr>
          <w:p w14:paraId="6609FF90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</w:tcPr>
          <w:p w14:paraId="289E3784" w14:textId="49FDD4AC" w:rsidR="00C4633E" w:rsidRPr="00D63266" w:rsidRDefault="00D63266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392166,7</w:t>
            </w:r>
          </w:p>
        </w:tc>
        <w:tc>
          <w:tcPr>
            <w:tcW w:w="1276" w:type="dxa"/>
          </w:tcPr>
          <w:p w14:paraId="58C494A0" w14:textId="5BD0B740" w:rsidR="00C4633E" w:rsidRPr="00D63266" w:rsidRDefault="00D63266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336845,2</w:t>
            </w:r>
          </w:p>
        </w:tc>
        <w:tc>
          <w:tcPr>
            <w:tcW w:w="1418" w:type="dxa"/>
          </w:tcPr>
          <w:p w14:paraId="08869785" w14:textId="339C57E9" w:rsidR="00C4633E" w:rsidRPr="00E03FB9" w:rsidRDefault="00D63266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417" w:type="dxa"/>
          </w:tcPr>
          <w:p w14:paraId="2E6F712E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55BD78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24A35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F5B423" w14:textId="1E0FA269" w:rsidR="00C4633E" w:rsidRPr="00D63266" w:rsidRDefault="00D63266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392166,7</w:t>
            </w:r>
          </w:p>
        </w:tc>
        <w:tc>
          <w:tcPr>
            <w:tcW w:w="1559" w:type="dxa"/>
            <w:vAlign w:val="center"/>
          </w:tcPr>
          <w:p w14:paraId="680C773B" w14:textId="5641F44E" w:rsidR="00C4633E" w:rsidRPr="00D63266" w:rsidRDefault="00D63266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336845,2</w:t>
            </w:r>
          </w:p>
        </w:tc>
        <w:tc>
          <w:tcPr>
            <w:tcW w:w="1134" w:type="dxa"/>
            <w:vAlign w:val="center"/>
          </w:tcPr>
          <w:p w14:paraId="41470E71" w14:textId="2E67C80D" w:rsidR="00C4633E" w:rsidRPr="00C4633E" w:rsidRDefault="00764759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E03FB9" w:rsidRPr="00E03FB9" w14:paraId="4AC9FE9E" w14:textId="77777777" w:rsidTr="00350AC6">
        <w:tc>
          <w:tcPr>
            <w:tcW w:w="2694" w:type="dxa"/>
            <w:vMerge/>
          </w:tcPr>
          <w:p w14:paraId="069A5BFB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C7656D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AFE1B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3473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02175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E077D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627A80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0262F6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9B1E68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EA479C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14:paraId="5AD7A655" w14:textId="77777777" w:rsidTr="00350AC6">
        <w:tc>
          <w:tcPr>
            <w:tcW w:w="2694" w:type="dxa"/>
            <w:vMerge/>
          </w:tcPr>
          <w:p w14:paraId="4239D02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F389CA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9DC8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D1DB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937E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A1F3D5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13E94E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EA0E47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32BBCB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5B3A48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14:paraId="58C14ED4" w14:textId="77777777" w:rsidTr="00350AC6">
        <w:tc>
          <w:tcPr>
            <w:tcW w:w="2694" w:type="dxa"/>
            <w:vMerge/>
          </w:tcPr>
          <w:p w14:paraId="1E150457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5441F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2873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9A8C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C16A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D1DD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F9F65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12C60C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44AAF9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012E3" w14:textId="77777777" w:rsidR="00E03FB9" w:rsidRPr="00E03FB9" w:rsidRDefault="00E03FB9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3E" w:rsidRPr="00E03FB9" w14:paraId="5B9ED0C0" w14:textId="77777777" w:rsidTr="00350AC6">
        <w:tc>
          <w:tcPr>
            <w:tcW w:w="2694" w:type="dxa"/>
            <w:vMerge w:val="restart"/>
          </w:tcPr>
          <w:p w14:paraId="0AF9F5FB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«Развитие и повышение качества транспортного обслуживания населения»</w:t>
            </w:r>
          </w:p>
        </w:tc>
        <w:tc>
          <w:tcPr>
            <w:tcW w:w="1842" w:type="dxa"/>
          </w:tcPr>
          <w:p w14:paraId="325E654B" w14:textId="10AEDA2F" w:rsidR="00C4633E" w:rsidRPr="00E03FB9" w:rsidRDefault="00D63266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48825,7</w:t>
            </w:r>
          </w:p>
        </w:tc>
        <w:tc>
          <w:tcPr>
            <w:tcW w:w="1276" w:type="dxa"/>
          </w:tcPr>
          <w:p w14:paraId="6A60B02E" w14:textId="3615A2DC" w:rsidR="00C4633E" w:rsidRPr="00E03FB9" w:rsidRDefault="00D63266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48825,7</w:t>
            </w:r>
          </w:p>
        </w:tc>
        <w:tc>
          <w:tcPr>
            <w:tcW w:w="1418" w:type="dxa"/>
          </w:tcPr>
          <w:p w14:paraId="1A53CEEC" w14:textId="77777777" w:rsidR="00C4633E" w:rsidRPr="00E03FB9" w:rsidRDefault="00A15AD8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C35F107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C6C6359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C23F3" w14:textId="77777777" w:rsidR="00C4633E" w:rsidRPr="00E03FB9" w:rsidRDefault="00C4633E" w:rsidP="00C46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96BFA38" w14:textId="1BE96C6C" w:rsidR="00C4633E" w:rsidRPr="00C4633E" w:rsidRDefault="00764759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48825,7</w:t>
            </w:r>
          </w:p>
        </w:tc>
        <w:tc>
          <w:tcPr>
            <w:tcW w:w="1559" w:type="dxa"/>
            <w:vAlign w:val="center"/>
          </w:tcPr>
          <w:p w14:paraId="4E6B011F" w14:textId="7C32A3F9" w:rsidR="00C4633E" w:rsidRPr="00C4633E" w:rsidRDefault="00764759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48825,7          </w:t>
            </w:r>
          </w:p>
        </w:tc>
        <w:tc>
          <w:tcPr>
            <w:tcW w:w="1134" w:type="dxa"/>
            <w:vAlign w:val="center"/>
          </w:tcPr>
          <w:p w14:paraId="7A16E6BD" w14:textId="77777777" w:rsidR="00C4633E" w:rsidRPr="00C4633E" w:rsidRDefault="00355A0C" w:rsidP="00C4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3FB9" w:rsidRPr="00E03FB9" w14:paraId="3462AAAD" w14:textId="77777777" w:rsidTr="00350AC6">
        <w:tc>
          <w:tcPr>
            <w:tcW w:w="2694" w:type="dxa"/>
            <w:vMerge/>
          </w:tcPr>
          <w:p w14:paraId="76BB4BC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5654E8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3EC7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93AD8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5107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6CD06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446CE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4D2EB2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51EA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6E60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14:paraId="2A75712C" w14:textId="77777777" w:rsidTr="00350AC6">
        <w:tc>
          <w:tcPr>
            <w:tcW w:w="2694" w:type="dxa"/>
            <w:vMerge/>
          </w:tcPr>
          <w:p w14:paraId="483A816B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83C628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5AFAA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41035F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B1B9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E6604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2C927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FB2E4D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C28B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318A6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FB9" w:rsidRPr="00E03FB9" w14:paraId="67446092" w14:textId="77777777" w:rsidTr="00350AC6">
        <w:tc>
          <w:tcPr>
            <w:tcW w:w="2694" w:type="dxa"/>
            <w:vMerge/>
          </w:tcPr>
          <w:p w14:paraId="768368CB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581C59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44BB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8721D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E677A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47BDA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802D7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5C1A53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AA691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4B5EE" w14:textId="77777777" w:rsidR="00E03FB9" w:rsidRPr="00E03FB9" w:rsidRDefault="00E03FB9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B1" w:rsidRPr="00E03FB9" w14:paraId="2713DCE3" w14:textId="77777777" w:rsidTr="00350AC6">
        <w:tc>
          <w:tcPr>
            <w:tcW w:w="2694" w:type="dxa"/>
          </w:tcPr>
          <w:p w14:paraId="4539BDA5" w14:textId="77777777" w:rsidR="00141514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F28B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Основное мероприятие: «Обновление подвижного </w:t>
            </w:r>
            <w:r w:rsidR="005707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состава наземного общ</w:t>
            </w:r>
            <w:r w:rsidR="0014151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ественного</w:t>
            </w:r>
          </w:p>
          <w:p w14:paraId="532D3F67" w14:textId="77777777" w:rsidR="005F28B1" w:rsidRPr="00E03FB9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B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пассажирского транспорта на территории муниципального образования «Город Майкоп»</w:t>
            </w:r>
          </w:p>
        </w:tc>
        <w:tc>
          <w:tcPr>
            <w:tcW w:w="1842" w:type="dxa"/>
          </w:tcPr>
          <w:p w14:paraId="09E631CE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6814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A29B" w14:textId="10F49DE2" w:rsidR="005F28B1" w:rsidRPr="00E03FB9" w:rsidRDefault="00350AC6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343341,0</w:t>
            </w:r>
          </w:p>
        </w:tc>
        <w:tc>
          <w:tcPr>
            <w:tcW w:w="1276" w:type="dxa"/>
          </w:tcPr>
          <w:p w14:paraId="60B4D7E4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B3FE4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BD2F" w14:textId="453D757A" w:rsidR="005F28B1" w:rsidRPr="00E03FB9" w:rsidRDefault="00350AC6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288019,5</w:t>
            </w:r>
          </w:p>
        </w:tc>
        <w:tc>
          <w:tcPr>
            <w:tcW w:w="1418" w:type="dxa"/>
          </w:tcPr>
          <w:p w14:paraId="518C861F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2922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B6F9" w14:textId="6D08CED7" w:rsidR="005F28B1" w:rsidRPr="00E03FB9" w:rsidRDefault="00350AC6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</w:tcPr>
          <w:p w14:paraId="55A83C15" w14:textId="77777777" w:rsidR="005F28B1" w:rsidRPr="00E03FB9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15D25D" w14:textId="77777777" w:rsidR="005F28B1" w:rsidRPr="00E03FB9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34005F" w14:textId="77777777" w:rsidR="005F28B1" w:rsidRPr="00E03FB9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FEF40A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C799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199E" w14:textId="4FE3EF7E" w:rsidR="005F28B1" w:rsidRPr="00E03FB9" w:rsidRDefault="00350AC6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343341,0</w:t>
            </w:r>
          </w:p>
        </w:tc>
        <w:tc>
          <w:tcPr>
            <w:tcW w:w="1559" w:type="dxa"/>
          </w:tcPr>
          <w:p w14:paraId="05457E7F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752C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60B2D" w14:textId="1842615B" w:rsidR="005F28B1" w:rsidRPr="00E03FB9" w:rsidRDefault="00350AC6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288019,5</w:t>
            </w:r>
          </w:p>
        </w:tc>
        <w:tc>
          <w:tcPr>
            <w:tcW w:w="1134" w:type="dxa"/>
          </w:tcPr>
          <w:p w14:paraId="5787904B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6A03" w14:textId="77777777" w:rsidR="005F28B1" w:rsidRDefault="005F28B1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A39F" w14:textId="43CB4742" w:rsidR="005F28B1" w:rsidRPr="00E03FB9" w:rsidRDefault="00350AC6" w:rsidP="00E03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350AC6" w:rsidRPr="00E03FB9" w14:paraId="787685EB" w14:textId="77777777" w:rsidTr="00B647E6">
        <w:tc>
          <w:tcPr>
            <w:tcW w:w="15593" w:type="dxa"/>
            <w:gridSpan w:val="10"/>
          </w:tcPr>
          <w:p w14:paraId="750268AC" w14:textId="687544D4" w:rsidR="00D652C5" w:rsidRPr="00E03FB9" w:rsidRDefault="00C763E8" w:rsidP="0083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114C46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по основному мероприятию составило 83,9%, вследствие того, что К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t xml:space="preserve">онтракт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239-2024 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поставку 9 </w:t>
            </w:r>
            <w:r w:rsidR="00114C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пассажирских </w:t>
            </w:r>
            <w:r w:rsidR="001776D6"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 03.12.2024</w:t>
            </w:r>
            <w:r w:rsidR="002B4179" w:rsidRPr="002B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тем, согласно п. 3.1 данного</w:t>
            </w:r>
            <w:r w:rsidR="00BD3A0A" w:rsidRPr="00BD3A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A0A" w:rsidRPr="00BD3A0A">
              <w:rPr>
                <w:rFonts w:ascii="Times New Roman" w:hAnsi="Times New Roman" w:cs="Times New Roman"/>
                <w:sz w:val="24"/>
                <w:szCs w:val="24"/>
              </w:rPr>
              <w:t xml:space="preserve"> срок поставки автобусов </w:t>
            </w:r>
            <w:r w:rsidR="00114C46">
              <w:rPr>
                <w:rFonts w:ascii="Times New Roman" w:hAnsi="Times New Roman" w:cs="Times New Roman"/>
                <w:sz w:val="24"/>
                <w:szCs w:val="24"/>
              </w:rPr>
              <w:t xml:space="preserve">был до 20.12.2024г., где сроки приема транспортных средств установлены в двадцать рабочих дней. </w:t>
            </w:r>
          </w:p>
        </w:tc>
      </w:tr>
    </w:tbl>
    <w:p w14:paraId="400DA6F0" w14:textId="77777777" w:rsidR="00355A0C" w:rsidRPr="00E03FB9" w:rsidRDefault="00355A0C" w:rsidP="00E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A210C" w14:textId="77777777" w:rsidR="00E03FB9" w:rsidRPr="005F28B1" w:rsidRDefault="00E03FB9" w:rsidP="00570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3FB9" w:rsidRPr="005F28B1" w:rsidSect="00141514">
          <w:pgSz w:w="16838" w:h="11906" w:orient="landscape"/>
          <w:pgMar w:top="851" w:right="1701" w:bottom="1134" w:left="1134" w:header="709" w:footer="709" w:gutter="0"/>
          <w:cols w:space="708"/>
          <w:docGrid w:linePitch="360"/>
        </w:sectPr>
      </w:pPr>
    </w:p>
    <w:p w14:paraId="7362BDB8" w14:textId="77777777" w:rsidR="002664EE" w:rsidRDefault="00642661" w:rsidP="006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реализации муниципальной программы </w:t>
      </w:r>
      <w:r w:rsidR="005F2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E4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5F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E153F6B" w14:textId="1EAB99B6" w:rsidR="00657DEB" w:rsidRPr="00657DEB" w:rsidRDefault="00657DEB" w:rsidP="00717D3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22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2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4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422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5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муниципальной программы в соответствие</w:t>
      </w:r>
      <w:r w:rsidR="0057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сводной бюджетной росписью по состоянию на 31.12.202</w:t>
      </w:r>
      <w:r w:rsidR="001E4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EC437" w14:textId="19F1F394" w:rsidR="00657DEB" w:rsidRDefault="00657DEB" w:rsidP="00D427D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2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29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7D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29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7D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7D23">
        <w:rPr>
          <w:rFonts w:ascii="Times New Roman" w:hAnsi="Times New Roman" w:cs="Times New Roman"/>
          <w:color w:val="000000" w:themeColor="text1"/>
          <w:sz w:val="28"/>
          <w:szCs w:val="28"/>
        </w:rPr>
        <w:t>543</w:t>
      </w:r>
      <w:r w:rsidR="00D4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муниципальную программу </w:t>
      </w:r>
      <w:r w:rsidR="00D4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44B2D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570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введением нового основного мероприятия «</w:t>
      </w:r>
      <w:r w:rsidR="00697D23" w:rsidRPr="00697D2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(обновление подвижного состава наземного общественного транспорта на территории муниципал</w:t>
      </w:r>
      <w:r w:rsidR="00697D23">
        <w:rPr>
          <w:rFonts w:ascii="Times New Roman" w:hAnsi="Times New Roman" w:cs="Times New Roman"/>
          <w:color w:val="000000" w:themeColor="text1"/>
          <w:sz w:val="28"/>
          <w:szCs w:val="28"/>
        </w:rPr>
        <w:t>ьного образования «Город Майкоп</w:t>
      </w:r>
      <w:r w:rsidR="005707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29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A25CA6" w14:textId="075F162D" w:rsidR="00A12197" w:rsidRPr="00A12197" w:rsidRDefault="00A12197" w:rsidP="00A1219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21.10.2024 № 871</w:t>
      </w:r>
      <w:r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основе которых составляется проект бюджета муниципального образования «Город Майкоп» на очередной финансовый год и плановый период.</w:t>
      </w:r>
    </w:p>
    <w:p w14:paraId="3E825DBC" w14:textId="559417FC" w:rsidR="00350AC6" w:rsidRDefault="00A12197" w:rsidP="00350AC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57DEB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657DEB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23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57DEB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97D23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7DEB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97D23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7DEB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7D23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1153</w:t>
      </w:r>
      <w:r w:rsidR="00D427DB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AC6"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с увеличение</w:t>
      </w:r>
      <w:r w:rsidR="00350AC6">
        <w:rPr>
          <w:rFonts w:ascii="Times New Roman" w:hAnsi="Times New Roman" w:cs="Times New Roman"/>
          <w:color w:val="000000" w:themeColor="text1"/>
          <w:sz w:val="28"/>
          <w:szCs w:val="28"/>
        </w:rPr>
        <w:t>м объема ресурсного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60D761" w14:textId="3AD1C45C" w:rsidR="003A6B1E" w:rsidRDefault="00350AC6" w:rsidP="00350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0AC6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="00D44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ассигнований на 2024 год.</w:t>
      </w:r>
    </w:p>
    <w:p w14:paraId="6296FDD1" w14:textId="77777777" w:rsidR="00A12197" w:rsidRPr="00350AC6" w:rsidRDefault="00A12197" w:rsidP="00350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35ADC" w14:textId="77777777" w:rsidR="007D15FE" w:rsidRPr="00C34538" w:rsidRDefault="005707EF" w:rsidP="00570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693193B8" w14:textId="77777777" w:rsidR="00950C1F" w:rsidRPr="00C34538" w:rsidRDefault="00950C1F">
      <w:pPr>
        <w:rPr>
          <w:color w:val="000000" w:themeColor="text1"/>
        </w:rPr>
      </w:pPr>
    </w:p>
    <w:sectPr w:rsidR="00950C1F" w:rsidRPr="00C34538" w:rsidSect="009E4C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EC0"/>
    <w:multiLevelType w:val="hybridMultilevel"/>
    <w:tmpl w:val="F8822F98"/>
    <w:lvl w:ilvl="0" w:tplc="19C63EAE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0EF297A"/>
    <w:multiLevelType w:val="hybridMultilevel"/>
    <w:tmpl w:val="E19257BC"/>
    <w:lvl w:ilvl="0" w:tplc="13F02B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D23837"/>
    <w:multiLevelType w:val="hybridMultilevel"/>
    <w:tmpl w:val="8E9EB388"/>
    <w:lvl w:ilvl="0" w:tplc="219834A2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2E941D30"/>
    <w:multiLevelType w:val="hybridMultilevel"/>
    <w:tmpl w:val="721C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46A0"/>
    <w:multiLevelType w:val="hybridMultilevel"/>
    <w:tmpl w:val="B1AA5756"/>
    <w:lvl w:ilvl="0" w:tplc="E94C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6761B"/>
    <w:multiLevelType w:val="hybridMultilevel"/>
    <w:tmpl w:val="E84C2C9C"/>
    <w:lvl w:ilvl="0" w:tplc="806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5"/>
    <w:rsid w:val="00036F0C"/>
    <w:rsid w:val="000414F0"/>
    <w:rsid w:val="00052B70"/>
    <w:rsid w:val="000700B3"/>
    <w:rsid w:val="00095870"/>
    <w:rsid w:val="000D57D0"/>
    <w:rsid w:val="000D6DC3"/>
    <w:rsid w:val="000E02DD"/>
    <w:rsid w:val="000E49EC"/>
    <w:rsid w:val="0011302A"/>
    <w:rsid w:val="00114205"/>
    <w:rsid w:val="00114C46"/>
    <w:rsid w:val="00116225"/>
    <w:rsid w:val="00120909"/>
    <w:rsid w:val="00134D2F"/>
    <w:rsid w:val="0013509E"/>
    <w:rsid w:val="001410EC"/>
    <w:rsid w:val="00141514"/>
    <w:rsid w:val="00156B68"/>
    <w:rsid w:val="00164AA6"/>
    <w:rsid w:val="001776D6"/>
    <w:rsid w:val="00185DED"/>
    <w:rsid w:val="001B30E4"/>
    <w:rsid w:val="001E4220"/>
    <w:rsid w:val="001F2340"/>
    <w:rsid w:val="001F557D"/>
    <w:rsid w:val="002057C6"/>
    <w:rsid w:val="00210A0E"/>
    <w:rsid w:val="002126CA"/>
    <w:rsid w:val="00225DBA"/>
    <w:rsid w:val="00227402"/>
    <w:rsid w:val="00233657"/>
    <w:rsid w:val="00235181"/>
    <w:rsid w:val="00242FF0"/>
    <w:rsid w:val="00263769"/>
    <w:rsid w:val="002664EE"/>
    <w:rsid w:val="002665BD"/>
    <w:rsid w:val="002705CE"/>
    <w:rsid w:val="00277F67"/>
    <w:rsid w:val="00280C67"/>
    <w:rsid w:val="00295921"/>
    <w:rsid w:val="002A352F"/>
    <w:rsid w:val="002A59C8"/>
    <w:rsid w:val="002B3E7C"/>
    <w:rsid w:val="002B4179"/>
    <w:rsid w:val="002F5ABC"/>
    <w:rsid w:val="00307093"/>
    <w:rsid w:val="003208C8"/>
    <w:rsid w:val="003307F3"/>
    <w:rsid w:val="00331ABD"/>
    <w:rsid w:val="0034118C"/>
    <w:rsid w:val="00350AC6"/>
    <w:rsid w:val="00355A0C"/>
    <w:rsid w:val="0036238D"/>
    <w:rsid w:val="003715D7"/>
    <w:rsid w:val="0038694C"/>
    <w:rsid w:val="003A42F7"/>
    <w:rsid w:val="003A6B1E"/>
    <w:rsid w:val="003E27D9"/>
    <w:rsid w:val="003F6BA9"/>
    <w:rsid w:val="00401139"/>
    <w:rsid w:val="00433A38"/>
    <w:rsid w:val="00437FE2"/>
    <w:rsid w:val="00445987"/>
    <w:rsid w:val="0045292A"/>
    <w:rsid w:val="00454C7E"/>
    <w:rsid w:val="00454F42"/>
    <w:rsid w:val="00455A71"/>
    <w:rsid w:val="00462A18"/>
    <w:rsid w:val="004646E2"/>
    <w:rsid w:val="004821B1"/>
    <w:rsid w:val="004832C7"/>
    <w:rsid w:val="0048797D"/>
    <w:rsid w:val="004A7BB4"/>
    <w:rsid w:val="004B76DC"/>
    <w:rsid w:val="004C055B"/>
    <w:rsid w:val="004D03CF"/>
    <w:rsid w:val="004E496A"/>
    <w:rsid w:val="004E4A59"/>
    <w:rsid w:val="004F0C7D"/>
    <w:rsid w:val="004F28E1"/>
    <w:rsid w:val="004F4AC6"/>
    <w:rsid w:val="004F4D6B"/>
    <w:rsid w:val="00514CAA"/>
    <w:rsid w:val="005178C0"/>
    <w:rsid w:val="0053617B"/>
    <w:rsid w:val="0054174A"/>
    <w:rsid w:val="00550E93"/>
    <w:rsid w:val="00563F81"/>
    <w:rsid w:val="005707EF"/>
    <w:rsid w:val="00591BAE"/>
    <w:rsid w:val="005A546C"/>
    <w:rsid w:val="005B42EF"/>
    <w:rsid w:val="005C546A"/>
    <w:rsid w:val="005C5641"/>
    <w:rsid w:val="005E309B"/>
    <w:rsid w:val="005E7545"/>
    <w:rsid w:val="005F28B1"/>
    <w:rsid w:val="00604F72"/>
    <w:rsid w:val="0061641E"/>
    <w:rsid w:val="00642661"/>
    <w:rsid w:val="006477A1"/>
    <w:rsid w:val="00655DA0"/>
    <w:rsid w:val="00657DEB"/>
    <w:rsid w:val="00663344"/>
    <w:rsid w:val="0069367D"/>
    <w:rsid w:val="0069785C"/>
    <w:rsid w:val="00697D23"/>
    <w:rsid w:val="006C41A8"/>
    <w:rsid w:val="006F74BF"/>
    <w:rsid w:val="00717D39"/>
    <w:rsid w:val="00744BC4"/>
    <w:rsid w:val="007459FD"/>
    <w:rsid w:val="00745F32"/>
    <w:rsid w:val="00750E04"/>
    <w:rsid w:val="00760597"/>
    <w:rsid w:val="00764759"/>
    <w:rsid w:val="00767C7E"/>
    <w:rsid w:val="00767D6F"/>
    <w:rsid w:val="00791E70"/>
    <w:rsid w:val="007925C3"/>
    <w:rsid w:val="007A05FB"/>
    <w:rsid w:val="007B3CDF"/>
    <w:rsid w:val="007C01A1"/>
    <w:rsid w:val="007C2AA3"/>
    <w:rsid w:val="007C7A9E"/>
    <w:rsid w:val="007D15FE"/>
    <w:rsid w:val="00812460"/>
    <w:rsid w:val="0083154E"/>
    <w:rsid w:val="00835AC1"/>
    <w:rsid w:val="00850B99"/>
    <w:rsid w:val="008510CE"/>
    <w:rsid w:val="00852DD1"/>
    <w:rsid w:val="00863C1A"/>
    <w:rsid w:val="0086435A"/>
    <w:rsid w:val="008B2453"/>
    <w:rsid w:val="008C6147"/>
    <w:rsid w:val="008F3A55"/>
    <w:rsid w:val="00906305"/>
    <w:rsid w:val="00913E90"/>
    <w:rsid w:val="009172C3"/>
    <w:rsid w:val="0092202E"/>
    <w:rsid w:val="00950C1F"/>
    <w:rsid w:val="00981B01"/>
    <w:rsid w:val="00985F1F"/>
    <w:rsid w:val="009A428A"/>
    <w:rsid w:val="009A7B4F"/>
    <w:rsid w:val="009B4E53"/>
    <w:rsid w:val="009D0400"/>
    <w:rsid w:val="009E4CD4"/>
    <w:rsid w:val="009F6968"/>
    <w:rsid w:val="00A12197"/>
    <w:rsid w:val="00A1547D"/>
    <w:rsid w:val="00A15AD8"/>
    <w:rsid w:val="00A4076D"/>
    <w:rsid w:val="00A433E9"/>
    <w:rsid w:val="00A43A02"/>
    <w:rsid w:val="00A43EE7"/>
    <w:rsid w:val="00A60B71"/>
    <w:rsid w:val="00A639CD"/>
    <w:rsid w:val="00AB7552"/>
    <w:rsid w:val="00AC10EE"/>
    <w:rsid w:val="00AC6D1B"/>
    <w:rsid w:val="00AD2924"/>
    <w:rsid w:val="00AD50E6"/>
    <w:rsid w:val="00AF15EB"/>
    <w:rsid w:val="00AF676C"/>
    <w:rsid w:val="00B012CA"/>
    <w:rsid w:val="00B13ABF"/>
    <w:rsid w:val="00B160C4"/>
    <w:rsid w:val="00B1711B"/>
    <w:rsid w:val="00B31995"/>
    <w:rsid w:val="00B4124F"/>
    <w:rsid w:val="00B41B0E"/>
    <w:rsid w:val="00B42970"/>
    <w:rsid w:val="00B6187E"/>
    <w:rsid w:val="00B91441"/>
    <w:rsid w:val="00BA5992"/>
    <w:rsid w:val="00BB7FA7"/>
    <w:rsid w:val="00BD3A0A"/>
    <w:rsid w:val="00BD7B56"/>
    <w:rsid w:val="00BE53AD"/>
    <w:rsid w:val="00BE6913"/>
    <w:rsid w:val="00BF5D29"/>
    <w:rsid w:val="00C31786"/>
    <w:rsid w:val="00C34538"/>
    <w:rsid w:val="00C34657"/>
    <w:rsid w:val="00C3598A"/>
    <w:rsid w:val="00C4633E"/>
    <w:rsid w:val="00C52967"/>
    <w:rsid w:val="00C763E8"/>
    <w:rsid w:val="00C87CF1"/>
    <w:rsid w:val="00D16B37"/>
    <w:rsid w:val="00D36C28"/>
    <w:rsid w:val="00D41D17"/>
    <w:rsid w:val="00D4278A"/>
    <w:rsid w:val="00D427DB"/>
    <w:rsid w:val="00D44B2D"/>
    <w:rsid w:val="00D518D8"/>
    <w:rsid w:val="00D575F9"/>
    <w:rsid w:val="00D63266"/>
    <w:rsid w:val="00D652C5"/>
    <w:rsid w:val="00D87E68"/>
    <w:rsid w:val="00DA18FD"/>
    <w:rsid w:val="00DA5FDE"/>
    <w:rsid w:val="00DB76A0"/>
    <w:rsid w:val="00DD671F"/>
    <w:rsid w:val="00DE1AA6"/>
    <w:rsid w:val="00DF5EFF"/>
    <w:rsid w:val="00E02724"/>
    <w:rsid w:val="00E03FB9"/>
    <w:rsid w:val="00E101EB"/>
    <w:rsid w:val="00E12670"/>
    <w:rsid w:val="00E366DF"/>
    <w:rsid w:val="00EB12F4"/>
    <w:rsid w:val="00F009AF"/>
    <w:rsid w:val="00F23422"/>
    <w:rsid w:val="00F334E2"/>
    <w:rsid w:val="00F43861"/>
    <w:rsid w:val="00F51020"/>
    <w:rsid w:val="00F545AD"/>
    <w:rsid w:val="00F565E4"/>
    <w:rsid w:val="00F629E4"/>
    <w:rsid w:val="00F7787E"/>
    <w:rsid w:val="00FA0843"/>
    <w:rsid w:val="00FA2E33"/>
    <w:rsid w:val="00FB1357"/>
    <w:rsid w:val="00FC1E11"/>
    <w:rsid w:val="00FD0236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12B0"/>
  <w15:docId w15:val="{EA96FE7B-FF4A-4429-8F24-7E02287D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453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43E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E4A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3F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1A8B-AD8F-4848-B859-5647F065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Семкин Павел Юрьевич</dc:creator>
  <cp:lastModifiedBy>Муков Алий Аскербиевич</cp:lastModifiedBy>
  <cp:revision>2</cp:revision>
  <cp:lastPrinted>2025-03-25T13:14:00Z</cp:lastPrinted>
  <dcterms:created xsi:type="dcterms:W3CDTF">2025-03-25T13:52:00Z</dcterms:created>
  <dcterms:modified xsi:type="dcterms:W3CDTF">2025-03-25T13:52:00Z</dcterms:modified>
</cp:coreProperties>
</file>