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D106A5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694"/>
        <w:gridCol w:w="1134"/>
        <w:gridCol w:w="992"/>
        <w:gridCol w:w="5953"/>
        <w:gridCol w:w="1418"/>
      </w:tblGrid>
      <w:tr w:rsidR="005436CF" w:rsidTr="00910EA1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69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5953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910EA1">
        <w:trPr>
          <w:trHeight w:val="1401"/>
        </w:trPr>
        <w:tc>
          <w:tcPr>
            <w:tcW w:w="1418" w:type="dxa"/>
          </w:tcPr>
          <w:p w:rsidR="005436CF" w:rsidRPr="006D1759" w:rsidRDefault="00D106A5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5436CF" w:rsidRPr="00A43959" w:rsidRDefault="005436CF" w:rsidP="00D106A5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r w:rsidR="00D1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D106A5" w:rsidRPr="00D1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03.11.2023 № 2453-р</w:t>
            </w:r>
            <w:r w:rsidRPr="0045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694" w:type="dxa"/>
          </w:tcPr>
          <w:p w:rsidR="00D106A5" w:rsidRPr="00D106A5" w:rsidRDefault="00D106A5" w:rsidP="00D106A5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«Проверка предоставления субсидии ООО «Ремонтно-строительное Управление» и соблюдения условий соглашения о ее предоставлении».</w:t>
            </w:r>
          </w:p>
          <w:p w:rsidR="005436CF" w:rsidRPr="00044F84" w:rsidRDefault="005436CF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36CF" w:rsidRPr="00044F84" w:rsidRDefault="005436CF" w:rsidP="00D106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0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1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10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2" w:type="dxa"/>
          </w:tcPr>
          <w:p w:rsidR="005436CF" w:rsidRPr="000D4BAD" w:rsidRDefault="005436CF" w:rsidP="00B20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 нарушение статьи 78 Бюджетного Кодекса Российской Федерации, пунктов 2.1 и 2.2 Порядка предоставления субсидии Управлением ЖКХ: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в объявление о проведении отбора не указана информация о размере субсидии, сроках выполнения работ, объеме и видах работ;  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объявление о проведении отбора участников получателей субсидии не опубликовано в газете «Майкопские новости».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В нарушение подпункта 2 пункта 2.2. Порядка предоставления субсидии Управлением ЖКХ не соблюдены сроки приема заявок 30 календарных дней, следующих за днем размещения объявления (расхождение 1 день).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В нарушение статьи 78 Бюджетного Кодекса Российской Федерации, п. 3.1 Порядка предоставления субсидии Управлением ЖКХ согласованы, </w:t>
            </w: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" w:eastAsia="ru-RU"/>
              </w:rPr>
              <w:t xml:space="preserve">необоснованно включенные в Локальные сметные расчеты, </w:t>
            </w: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«коэффициенты по итогам проведения отбора», в результате чего сметная стоимость работ по пяти многоквартирным домам завышена на 357 386,76 рублей.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В нарушение статей 34, 78, 162 Бюджетного Кодекса Российской Федерации Управлением ЖКХ заключено Соглашение с ООО «РСУ» на предоставление из бюджета муниципального образования «Город Майкоп» субсидии с превышением объема средств достаточного для достижения результата, вследствие необоснованного включения в сметную стоимость работ «коэффициента по итогам проведения отбора», заменяющего НДС 20%, что повлекло неэффективное использование бюджетных средств.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В нарушение статей 78, 162 Бюджетного кодекса Российской Федерации, части 1 статьи 743, части 1 статьи 746 Гражданского кодекса Российской Федерации, частей 1.2, 6, 7 статьи 52 Градостроительного кодекса Российской Федерации Управлением ЖКХ приняты и </w:t>
            </w:r>
            <w:r w:rsidRPr="00D10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оплачены, включенные в Акты выполненных работ формы КС-2, не подтвержденные документально объемы работ на сумму 82 414,80 рублей,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 В нарушение статей 78, 162 Бюджетного кодекса Российской Федерации, части 1 статьи 743, части 1 статьи 746 Гражданского кодекса Российской Федерации Управлением ЖКХ</w:t>
            </w:r>
            <w:r w:rsidRPr="00D10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приняты и оплачены включенные в Акты выполненных работ формы КС-2 документально не подтвержденные лимитированные затраты</w:t>
            </w:r>
            <w:r w:rsidR="006E2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6E2DA2" w:rsidRPr="006E2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сумме 10 696,80 рублей</w:t>
            </w:r>
            <w:r w:rsidR="006E2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="006E2D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10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D106A5" w:rsidRPr="00D106A5" w:rsidRDefault="00D106A5" w:rsidP="00D106A5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В нарушение пункта 4 Порядка, утвержденного </w:t>
            </w:r>
            <w:hyperlink w:anchor="sub_0" w:history="1">
              <w:r w:rsidRPr="00D106A5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постановлением</w:t>
              </w:r>
            </w:hyperlink>
            <w:r w:rsidRPr="00D1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муниципального образования «Город Майкоп» от 12.11.2021 № 1183, пункта 4.3.4.2 Соглашения ООО «РСУ» в Отчете о расходах, источником финансового обеспечения которых является субсидия не отражены данные о фактически произведенных расходах.</w:t>
            </w:r>
          </w:p>
          <w:p w:rsidR="005436CF" w:rsidRPr="00030C28" w:rsidRDefault="005436CF" w:rsidP="00910E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36CF" w:rsidRDefault="005436CF" w:rsidP="00B771FC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проверки направлено 1 (одно) Представление, </w:t>
            </w:r>
          </w:p>
          <w:p w:rsidR="005436CF" w:rsidRPr="00DA59B4" w:rsidRDefault="005436CF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D1759"/>
    <w:rsid w:val="006E09FE"/>
    <w:rsid w:val="006E2DA2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B5B35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106A5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26</cp:revision>
  <cp:lastPrinted>2023-05-04T07:35:00Z</cp:lastPrinted>
  <dcterms:created xsi:type="dcterms:W3CDTF">2021-04-23T07:42:00Z</dcterms:created>
  <dcterms:modified xsi:type="dcterms:W3CDTF">2023-12-06T09:16:00Z</dcterms:modified>
</cp:coreProperties>
</file>