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77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31.10.2017 № 1303 «Об утверждении муниципальной программы «Формирование благоприятной инвестиционной среды муниципального образования «Город Майкоп» на 2018-2020 годы»»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77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773494" w:rsidRPr="0077349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№ 1303 «Об утверждении муниципальной программы «Формирование благоприятной инвестиционной среды муниципального образования «Город Майкоп» на 2018-2020 годы»»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773494">
        <w:rPr>
          <w:rFonts w:ascii="Times New Roman" w:hAnsi="Times New Roman" w:cs="Times New Roman"/>
          <w:sz w:val="28"/>
          <w:szCs w:val="28"/>
        </w:rPr>
        <w:t>Отделом инвестиций и проектного сопровождения</w:t>
      </w:r>
      <w:bookmarkStart w:id="0" w:name="_GoBack"/>
      <w:bookmarkEnd w:id="0"/>
      <w:r w:rsidRPr="004C5D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4C5D9C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4C5D9C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4C5D9C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14</cp:revision>
  <cp:lastPrinted>2014-10-29T08:05:00Z</cp:lastPrinted>
  <dcterms:created xsi:type="dcterms:W3CDTF">2017-03-09T12:25:00Z</dcterms:created>
  <dcterms:modified xsi:type="dcterms:W3CDTF">2018-06-05T13:21:00Z</dcterms:modified>
</cp:coreProperties>
</file>