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5324A3" w:rsidRPr="005324A3">
        <w:rPr>
          <w:rFonts w:ascii="Times New Roman" w:hAnsi="Times New Roman" w:cs="Times New Roman"/>
          <w:sz w:val="28"/>
          <w:szCs w:val="28"/>
        </w:rPr>
        <w:t>02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5324A3" w:rsidRPr="005324A3">
        <w:rPr>
          <w:rFonts w:ascii="Times New Roman" w:hAnsi="Times New Roman" w:cs="Times New Roman"/>
          <w:sz w:val="28"/>
          <w:szCs w:val="28"/>
        </w:rPr>
        <w:t>3</w:t>
      </w:r>
      <w:r w:rsidR="00F9411B" w:rsidRPr="005324A3">
        <w:rPr>
          <w:rFonts w:ascii="Times New Roman" w:hAnsi="Times New Roman" w:cs="Times New Roman"/>
          <w:sz w:val="28"/>
          <w:szCs w:val="28"/>
        </w:rPr>
        <w:t>.</w:t>
      </w:r>
      <w:r w:rsidRPr="005324A3">
        <w:rPr>
          <w:rFonts w:ascii="Times New Roman" w:hAnsi="Times New Roman" w:cs="Times New Roman"/>
          <w:sz w:val="28"/>
          <w:szCs w:val="28"/>
        </w:rPr>
        <w:t>20</w:t>
      </w:r>
      <w:r w:rsidR="005324A3" w:rsidRPr="005324A3">
        <w:rPr>
          <w:rFonts w:ascii="Times New Roman" w:hAnsi="Times New Roman" w:cs="Times New Roman"/>
          <w:sz w:val="28"/>
          <w:szCs w:val="28"/>
        </w:rPr>
        <w:t>21</w:t>
      </w:r>
      <w:r w:rsidRPr="005324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2E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5324A3" w:rsidRPr="005324A3">
        <w:rPr>
          <w:rFonts w:ascii="Times New Roman" w:hAnsi="Times New Roman" w:cs="Times New Roman"/>
          <w:sz w:val="28"/>
          <w:szCs w:val="28"/>
        </w:rPr>
        <w:t>01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5324A3" w:rsidRPr="005324A3">
        <w:rPr>
          <w:rFonts w:ascii="Times New Roman" w:hAnsi="Times New Roman" w:cs="Times New Roman"/>
          <w:sz w:val="28"/>
          <w:szCs w:val="28"/>
        </w:rPr>
        <w:t>3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5324A3" w:rsidRPr="005324A3">
        <w:rPr>
          <w:rFonts w:ascii="Times New Roman" w:hAnsi="Times New Roman" w:cs="Times New Roman"/>
          <w:sz w:val="28"/>
          <w:szCs w:val="28"/>
        </w:rPr>
        <w:t>2021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hyperlink r:id="rId7" w:anchor="YANDEX_18" w:history="1"/>
      <w:hyperlink r:id="rId8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Майкоп».</w:t>
      </w:r>
    </w:p>
    <w:p w:rsidR="007A3A35" w:rsidRPr="007D0CC2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5324A3" w:rsidRDefault="005324A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A3">
        <w:rPr>
          <w:rFonts w:ascii="Times New Roman" w:hAnsi="Times New Roman" w:cs="Times New Roman"/>
          <w:sz w:val="28"/>
          <w:szCs w:val="28"/>
        </w:rPr>
        <w:t>В связи с штатными изменениями и необходимостью проведения оптимизации порядка размещения нестационарных торговых объектов в целях повышения эффективности вышеуказанного порядка возникла необходимость принятия вышеуказанного НПА.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5324A3" w:rsidRDefault="005324A3" w:rsidP="00532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A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5324A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53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53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532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 w:rsidRPr="005324A3">
        <w:rPr>
          <w:sz w:val="28"/>
          <w:szCs w:val="28"/>
        </w:rPr>
        <w:t xml:space="preserve">с </w:t>
      </w:r>
      <w:r w:rsidR="005324A3" w:rsidRPr="005324A3">
        <w:rPr>
          <w:rFonts w:ascii="Times New Roman" w:hAnsi="Times New Roman" w:cs="Times New Roman"/>
          <w:sz w:val="28"/>
          <w:szCs w:val="28"/>
        </w:rPr>
        <w:t>11.02.2021 г.  по 26.02.2021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5324A3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экономике</w:t>
      </w:r>
      <w:r w:rsidR="003B586F">
        <w:rPr>
          <w:rFonts w:ascii="Times New Roman" w:hAnsi="Times New Roman" w:cs="Times New Roman"/>
          <w:sz w:val="28"/>
          <w:szCs w:val="28"/>
        </w:rPr>
        <w:tab/>
      </w:r>
      <w:r w:rsidR="003B58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76E99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24A3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23</cp:revision>
  <cp:lastPrinted>2018-11-30T06:37:00Z</cp:lastPrinted>
  <dcterms:created xsi:type="dcterms:W3CDTF">2017-03-09T12:25:00Z</dcterms:created>
  <dcterms:modified xsi:type="dcterms:W3CDTF">2021-03-18T11:14:00Z</dcterms:modified>
</cp:coreProperties>
</file>